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32216258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二〇二〇年十一月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107334144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二〇二〇年十一月</w:t>
                      </w:r>
                    </w:p>
                  </w:txbxContent>
                </v:textbox>
              </v:shape>
            </w:pict>
          </mc:Fallback>
        </mc:AlternateContent>
      </w:r>
      <w:r>
        <mc:AlternateContent>
          <mc:Choice Requires="wps">
            <w:drawing>
              <wp:anchor distT="0" distB="0" distL="114300" distR="114300" simplePos="0" relativeHeight="3221622784"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10733445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lzntkAAAALAQAADwAAAAAAAAABACAAAAAiAAAAZHJzL2Rvd25yZXYueG1sUEsBAhQA&#10;FAAAAAgAh07iQKby8CnxAQAA1QMAAA4AAAAAAAAAAQAgAAAAKAEAAGRycy9lMm9Eb2MueG1sUEsF&#10;BgAAAAAGAAYAWQEAAIs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3221627904"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107333939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3221626880"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107334041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32216238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107334348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3221619712"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157666406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32216248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107334246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中国共产党固安县纪律检查委员会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二〇二〇年十一月</w:t>
      </w: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322162892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1073338368;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320" w:firstLineChars="1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widowControl/>
        <w:adjustRightInd w:val="0"/>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部门职责：</w:t>
      </w:r>
    </w:p>
    <w:p>
      <w:pPr>
        <w:widowControl/>
        <w:adjustRightInd w:val="0"/>
        <w:spacing w:line="560" w:lineRule="exact"/>
        <w:ind w:firstLine="640" w:firstLineChars="200"/>
        <w:jc w:val="left"/>
        <w:rPr>
          <w:rFonts w:ascii="仿宋_GB2312" w:eastAsia="仿宋_GB2312"/>
          <w:sz w:val="32"/>
          <w:szCs w:val="32"/>
        </w:rPr>
      </w:pPr>
      <w:r>
        <w:rPr>
          <w:rFonts w:ascii="仿宋_GB2312" w:eastAsia="仿宋_GB2312"/>
          <w:sz w:val="32"/>
          <w:szCs w:val="32"/>
        </w:rPr>
        <w:t>组织协调、综合分析党风廉政建设和反腐败宣传教育以及廉政文化建设工作；负责综合协调贯彻执行党的路线方针政策和决议、国家法律法规等情况的监督检查；综合协调党风廉政建设责任制、作风建设规定、廉洁自律规定等制度规定的落实，开展党风政风监督专项检查；</w:t>
      </w:r>
    </w:p>
    <w:p>
      <w:pPr>
        <w:widowControl/>
        <w:adjustRightInd w:val="0"/>
        <w:spacing w:line="560" w:lineRule="exact"/>
        <w:ind w:firstLine="640" w:firstLineChars="200"/>
        <w:jc w:val="left"/>
        <w:rPr>
          <w:rFonts w:ascii="仿宋_GB2312" w:eastAsia="仿宋_GB2312"/>
          <w:sz w:val="32"/>
          <w:szCs w:val="32"/>
        </w:rPr>
      </w:pPr>
      <w:r>
        <w:rPr>
          <w:rFonts w:ascii="仿宋_GB2312" w:eastAsia="仿宋_GB2312"/>
          <w:sz w:val="32"/>
          <w:szCs w:val="32"/>
        </w:rPr>
        <w:t>负责办理群众来信来访和举报事项，受理涉及党风党纪、政风政纪问题的检举、控告和申诉；调查了解群众反映的突出问题，反映带有普遍性和倾向性的重要信访信息；负责上级机关和领导交办的信访案件的承办、转办、督办工作；负责对下级纪检监察系统的信访工作进行业务指导；</w:t>
      </w:r>
    </w:p>
    <w:p>
      <w:pPr>
        <w:widowControl/>
        <w:adjustRightInd w:val="0"/>
        <w:spacing w:line="560" w:lineRule="exact"/>
        <w:ind w:firstLine="640" w:firstLineChars="200"/>
        <w:jc w:val="left"/>
        <w:rPr>
          <w:rFonts w:ascii="仿宋_GB2312" w:eastAsia="仿宋_GB2312"/>
          <w:sz w:val="32"/>
          <w:szCs w:val="32"/>
        </w:rPr>
      </w:pPr>
      <w:r>
        <w:rPr>
          <w:rFonts w:ascii="仿宋_GB2312" w:eastAsia="仿宋_GB2312"/>
          <w:sz w:val="32"/>
          <w:szCs w:val="32"/>
        </w:rPr>
        <w:t>负责监督检查乡（镇、区、办）和县直单位领导班子及县管干部遵守和执行党章以及其他党内法规，遵守和执行党的路线方针政策和决议、国家法律法规等方面的情况；监督检查乡（镇、区、办）和县直单位落实党风廉政建设主体责任的情况；承办乡镇（区、办）和县直单位干部的违纪违法案件和其他比较重要复杂案件的初核、审查；综合、协调、指导乡（镇、区、办）和县直单位及其系统的纪检监察工作等；负责领导交办的其他事项。</w:t>
      </w:r>
    </w:p>
    <w:p>
      <w:pPr>
        <w:widowControl/>
        <w:adjustRightInd w:val="0"/>
        <w:spacing w:line="560" w:lineRule="exact"/>
        <w:ind w:firstLine="640" w:firstLineChars="200"/>
        <w:jc w:val="left"/>
        <w:rPr>
          <w:rFonts w:ascii="仿宋_GB2312" w:eastAsia="仿宋_GB2312"/>
          <w:sz w:val="32"/>
          <w:szCs w:val="32"/>
        </w:rPr>
      </w:pPr>
      <w:r>
        <w:rPr>
          <w:rFonts w:ascii="仿宋_GB2312" w:eastAsia="仿宋_GB2312"/>
          <w:sz w:val="32"/>
          <w:szCs w:val="32"/>
        </w:rPr>
        <w:t>负责监督检查纪检监察系统干部遵守和执行党章以及其他党内法规，遵守和执行党的路线方针政策和决议、国家法律法规等方面的情况；按照管理权限受理有关纪检监察干部违纪违法问题的举报，负责问题线索初核及案件审查工作；负责领导交办的其他事项。</w:t>
      </w:r>
    </w:p>
    <w:p>
      <w:pPr>
        <w:keepNext/>
        <w:keepLines/>
        <w:pageBreakBefore w:val="0"/>
        <w:widowControl w:val="0"/>
        <w:kinsoku/>
        <w:wordWrap/>
        <w:overflowPunct/>
        <w:topLinePunct w:val="0"/>
        <w:autoSpaceDE/>
        <w:autoSpaceDN/>
        <w:bidi w:val="0"/>
        <w:adjustRightInd/>
        <w:snapToGrid/>
        <w:spacing w:before="0" w:after="0" w:line="580" w:lineRule="exact"/>
        <w:ind w:firstLine="320" w:firstLineChars="1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jc w:val="center"/>
              <w:rPr>
                <w:rFonts w:hint="eastAsia"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中国共产党固安县纪律检查委员会</w:t>
            </w: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行政单位</w:t>
            </w: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322162995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107333734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3221634048"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107333324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仿宋_GB2312" w:eastAsia="仿宋_GB2312" w:cs="DengXian-Regular"/>
          <w:sz w:val="32"/>
          <w:szCs w:val="32"/>
          <w:lang w:val="en-US"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收入总计（含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2412.38万元，</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增加71.25万元，增长3%，主要原因是办案所需经费增加；支出总计2718.98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增加404.01万元，增长17%，</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eastAsia="仿宋_GB2312" w:cs="DengXian-Regular"/>
          <w:sz w:val="32"/>
          <w:szCs w:val="32"/>
        </w:rPr>
        <w:t>外出办案所需经费支出</w:t>
      </w:r>
      <w:r>
        <w:rPr>
          <w:rFonts w:hint="eastAsia" w:ascii="仿宋_GB2312" w:eastAsia="仿宋_GB2312" w:cs="DengXian-Regular"/>
          <w:sz w:val="32"/>
          <w:szCs w:val="32"/>
          <w:lang w:eastAsia="zh-CN"/>
        </w:rPr>
        <w:t>以及新调入</w:t>
      </w:r>
      <w:r>
        <w:rPr>
          <w:rFonts w:hint="eastAsia" w:ascii="仿宋_GB2312" w:eastAsia="仿宋_GB2312" w:cs="DengXian-Regular"/>
          <w:sz w:val="32"/>
          <w:szCs w:val="32"/>
          <w:lang w:val="en-US" w:eastAsia="zh-CN"/>
        </w:rPr>
        <w:t>25人。</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2412.38</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2412.38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2718.98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2041.98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75</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677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25</w:t>
      </w:r>
      <w:r>
        <w:rPr>
          <w:rFonts w:hint="eastAsia" w:ascii="仿宋_GB2312" w:hAnsi="Times New Roman" w:eastAsia="仿宋_GB2312" w:cs="DengXian-Regular"/>
          <w:sz w:val="32"/>
          <w:szCs w:val="32"/>
        </w:rPr>
        <w:t>%；。如图所示：</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eastAsia="仿宋_GB2312" w:cs="DengXian-Regular"/>
          <w:sz w:val="32"/>
          <w:szCs w:val="32"/>
        </w:rPr>
        <w:drawing>
          <wp:anchor distT="0" distB="0" distL="114300" distR="114300" simplePos="0" relativeHeight="3221618688" behindDoc="1" locked="0" layoutInCell="1" allowOverlap="1">
            <wp:simplePos x="0" y="0"/>
            <wp:positionH relativeFrom="column">
              <wp:posOffset>1447800</wp:posOffset>
            </wp:positionH>
            <wp:positionV relativeFrom="page">
              <wp:posOffset>5844540</wp:posOffset>
            </wp:positionV>
            <wp:extent cx="3282315" cy="2479040"/>
            <wp:effectExtent l="4445" t="4445" r="8890" b="12065"/>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s="DengXian-Regular"/>
          <w:sz w:val="32"/>
          <w:szCs w:val="32"/>
        </w:rPr>
      </w:pP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s="DengXian-Regular"/>
          <w:sz w:val="32"/>
          <w:szCs w:val="32"/>
        </w:rPr>
      </w:pP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s="DengXian-Regular"/>
          <w:sz w:val="32"/>
          <w:szCs w:val="32"/>
        </w:rPr>
      </w:pP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s="DengXian-Regular"/>
          <w:sz w:val="32"/>
          <w:szCs w:val="32"/>
        </w:rPr>
      </w:pP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s="DengXian-Regular"/>
          <w:sz w:val="32"/>
          <w:szCs w:val="32"/>
        </w:rPr>
      </w:pP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s="DengXian-Regular"/>
          <w:sz w:val="32"/>
          <w:szCs w:val="32"/>
        </w:rPr>
      </w:pPr>
    </w:p>
    <w:p>
      <w:pPr>
        <w:pageBreakBefore w:val="0"/>
        <w:widowControl w:val="0"/>
        <w:kinsoku/>
        <w:wordWrap/>
        <w:overflowPunct/>
        <w:topLinePunct w:val="0"/>
        <w:autoSpaceDE/>
        <w:autoSpaceDN/>
        <w:bidi w:val="0"/>
        <w:adjustRightInd w:val="0"/>
        <w:snapToGrid w:val="0"/>
        <w:spacing w:line="560" w:lineRule="exact"/>
        <w:ind w:right="0" w:rightChars="0" w:firstLine="1600" w:firstLineChars="500"/>
        <w:textAlignment w:val="auto"/>
        <w:rPr>
          <w:rFonts w:hint="eastAsia" w:ascii="仿宋_GB2312" w:eastAsia="仿宋_GB2312" w:cs="DengXian-Regular"/>
          <w:sz w:val="32"/>
          <w:szCs w:val="32"/>
        </w:rPr>
      </w:pPr>
    </w:p>
    <w:p>
      <w:pPr>
        <w:pageBreakBefore w:val="0"/>
        <w:widowControl w:val="0"/>
        <w:kinsoku/>
        <w:wordWrap/>
        <w:overflowPunct/>
        <w:topLinePunct w:val="0"/>
        <w:autoSpaceDE/>
        <w:autoSpaceDN/>
        <w:bidi w:val="0"/>
        <w:adjustRightInd w:val="0"/>
        <w:snapToGrid w:val="0"/>
        <w:spacing w:line="560" w:lineRule="exact"/>
        <w:ind w:right="0" w:rightChars="0" w:firstLine="2240" w:firstLineChars="700"/>
        <w:textAlignment w:val="auto"/>
        <w:rPr>
          <w:rFonts w:hint="eastAsia" w:ascii="仿宋_GB2312" w:hAnsi="Times New Roman" w:eastAsia="仿宋_GB2312" w:cs="DengXian-Regular"/>
          <w:sz w:val="32"/>
          <w:szCs w:val="32"/>
          <w:lang w:eastAsia="zh-CN"/>
        </w:rPr>
      </w:pPr>
      <w:r>
        <w:rPr>
          <w:rFonts w:hint="eastAsia" w:ascii="仿宋_GB2312" w:eastAsia="仿宋_GB2312" w:cs="DengXian-Regular"/>
          <w:sz w:val="32"/>
          <w:szCs w:val="32"/>
        </w:rPr>
        <w:t>图</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：支出构成情况（按支出性质）</w:t>
      </w:r>
    </w:p>
    <w:p>
      <w:pPr>
        <w:keepNext/>
        <w:keepLines/>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 xml:space="preserve"> </w:t>
      </w:r>
      <w:r>
        <w:rPr>
          <w:sz w:val="32"/>
        </w:rPr>
        <mc:AlternateContent>
          <mc:Choice Requires="wps">
            <w:drawing>
              <wp:anchor distT="0" distB="0" distL="114300" distR="114300" simplePos="0" relativeHeight="3221630976" behindDoc="1" locked="0" layoutInCell="1" allowOverlap="1">
                <wp:simplePos x="0" y="0"/>
                <wp:positionH relativeFrom="column">
                  <wp:posOffset>945515</wp:posOffset>
                </wp:positionH>
                <wp:positionV relativeFrom="paragraph">
                  <wp:posOffset>223520</wp:posOffset>
                </wp:positionV>
                <wp:extent cx="3314065" cy="483235"/>
                <wp:effectExtent l="0" t="0" r="635" b="12065"/>
                <wp:wrapNone/>
                <wp:docPr id="30" name="文本框 30"/>
                <wp:cNvGraphicFramePr/>
                <a:graphic xmlns:a="http://schemas.openxmlformats.org/drawingml/2006/main">
                  <a:graphicData uri="http://schemas.microsoft.com/office/word/2010/wordprocessingShape">
                    <wps:wsp>
                      <wps:cNvSpPr txBox="1"/>
                      <wps:spPr>
                        <a:xfrm>
                          <a:off x="1953895" y="3765550"/>
                          <a:ext cx="3314065" cy="48323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ind w:left="0" w:leftChars="0" w:firstLine="0" w:firstLineChars="0"/>
                              <w:jc w:val="center"/>
                              <w:rPr>
                                <w:rFonts w:hint="eastAsia" w:ascii="仿宋_GB2312" w:hAnsi="Times New Roman" w:eastAsia="仿宋_GB2312" w:cs="DengXian-Regular"/>
                                <w:sz w:val="28"/>
                                <w:szCs w:val="28"/>
                              </w:rPr>
                            </w:pPr>
                          </w:p>
                          <w:p>
                            <w:pPr>
                              <w:adjustRightInd w:val="0"/>
                              <w:snapToGrid w:val="0"/>
                              <w:spacing w:after="160" w:line="560" w:lineRule="exact"/>
                              <w:ind w:left="0" w:leftChars="0" w:firstLine="0" w:firstLineChars="0"/>
                              <w:jc w:val="center"/>
                              <w:rPr>
                                <w:rFonts w:hint="eastAsia" w:ascii="仿宋_GB2312" w:hAnsi="Times New Roman" w:eastAsia="仿宋_GB2312" w:cs="DengXian-Regular"/>
                                <w:sz w:val="28"/>
                                <w:szCs w:val="28"/>
                              </w:rPr>
                            </w:pPr>
                          </w:p>
                          <w:p>
                            <w:pPr>
                              <w:adjustRightInd w:val="0"/>
                              <w:snapToGrid w:val="0"/>
                              <w:spacing w:after="160" w:line="560" w:lineRule="exact"/>
                              <w:ind w:left="0" w:leftChars="0" w:firstLine="0" w:firstLineChars="0"/>
                              <w:jc w:val="center"/>
                              <w:rPr>
                                <w:rFonts w:hint="default" w:ascii="仿宋_GB2312" w:hAnsi="Times New Roman" w:eastAsia="仿宋_GB2312" w:cs="DengXian-Regular"/>
                                <w:sz w:val="28"/>
                                <w:szCs w:val="28"/>
                                <w:lang w:val="en-US" w:eastAsia="zh-CN"/>
                              </w:rPr>
                            </w:pPr>
                            <w:r>
                              <w:rPr>
                                <w:rFonts w:hint="eastAsia" w:ascii="仿宋_GB2312" w:hAnsi="Times New Roman" w:eastAsia="仿宋_GB2312" w:cs="DengXian-Regular"/>
                                <w:sz w:val="28"/>
                                <w:szCs w:val="28"/>
                              </w:rPr>
                              <w:t>图</w:t>
                            </w:r>
                            <w:r>
                              <w:rPr>
                                <w:rFonts w:hint="eastAsia" w:ascii="仿宋_GB2312" w:hAnsi="Times New Roman" w:eastAsia="仿宋_GB2312" w:cs="DengXian-Regular"/>
                                <w:sz w:val="28"/>
                                <w:szCs w:val="28"/>
                                <w:lang w:val="en-US" w:eastAsia="zh-CN"/>
                              </w:rPr>
                              <w:t>1</w:t>
                            </w:r>
                            <w:r>
                              <w:rPr>
                                <w:rFonts w:hint="eastAsia" w:ascii="仿宋_GB2312" w:hAnsi="Times New Roman" w:eastAsia="仿宋_GB2312" w:cs="DengXian-Regular"/>
                                <w:sz w:val="28"/>
                                <w:szCs w:val="28"/>
                              </w:rPr>
                              <w:t>：支出</w:t>
                            </w:r>
                            <w:r>
                              <w:rPr>
                                <w:rFonts w:hint="eastAsia" w:ascii="仿宋_GB2312" w:hAnsi="Times New Roman" w:eastAsia="仿宋_GB2312" w:cs="DengXian-Regular"/>
                                <w:sz w:val="28"/>
                                <w:szCs w:val="28"/>
                                <w:lang w:val="en-US" w:eastAsia="zh-CN"/>
                              </w:rPr>
                              <w:t>构成情况（按支出性质）</w:t>
                            </w:r>
                          </w:p>
                          <w:p>
                            <w:pPr>
                              <w:spacing w:after="160" w:line="480" w:lineRule="auto"/>
                              <w:rPr>
                                <w:rFonts w:ascii="Times New Roman" w:hAnsi="Times New Roman" w:eastAsia="宋体" w:cs="Times New Roman"/>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45pt;margin-top:17.6pt;height:38.05pt;width:260.95pt;z-index:-1576652800;mso-width-relative:page;mso-height-relative:page;" fillcolor="#FFFFFF" filled="t" stroked="f" coordsize="21600,21600" o:gfxdata="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aT95dUAAAAKAQAADwAAAAAAAAABACAAAAAiAAAAZHJzL2Rvd25yZXYueG1sUEsBAhQAFAAAAAgA&#10;h07iQIynHw5hAgAAqwQAAA4AAAAAAAAAAQAgAAAAJAEAAGRycy9lMm9Eb2MueG1sUEsFBgAAAAAG&#10;AAYAWQEAAPcFAAAAAA==&#10;">
                <v:fill on="t" focussize="0,0"/>
                <v:stroke on="f" weight="0.5pt"/>
                <v:imagedata o:title=""/>
                <o:lock v:ext="edit" aspectratio="f"/>
                <v:textbox>
                  <w:txbxContent>
                    <w:p>
                      <w:pPr>
                        <w:adjustRightInd w:val="0"/>
                        <w:snapToGrid w:val="0"/>
                        <w:spacing w:after="160" w:line="560" w:lineRule="exact"/>
                        <w:ind w:left="0" w:leftChars="0" w:firstLine="0" w:firstLineChars="0"/>
                        <w:jc w:val="center"/>
                        <w:rPr>
                          <w:rFonts w:hint="eastAsia" w:ascii="仿宋_GB2312" w:hAnsi="Times New Roman" w:eastAsia="仿宋_GB2312" w:cs="DengXian-Regular"/>
                          <w:sz w:val="28"/>
                          <w:szCs w:val="28"/>
                        </w:rPr>
                      </w:pPr>
                    </w:p>
                    <w:p>
                      <w:pPr>
                        <w:adjustRightInd w:val="0"/>
                        <w:snapToGrid w:val="0"/>
                        <w:spacing w:after="160" w:line="560" w:lineRule="exact"/>
                        <w:ind w:left="0" w:leftChars="0" w:firstLine="0" w:firstLineChars="0"/>
                        <w:jc w:val="center"/>
                        <w:rPr>
                          <w:rFonts w:hint="eastAsia" w:ascii="仿宋_GB2312" w:hAnsi="Times New Roman" w:eastAsia="仿宋_GB2312" w:cs="DengXian-Regular"/>
                          <w:sz w:val="28"/>
                          <w:szCs w:val="28"/>
                        </w:rPr>
                      </w:pPr>
                    </w:p>
                    <w:p>
                      <w:pPr>
                        <w:adjustRightInd w:val="0"/>
                        <w:snapToGrid w:val="0"/>
                        <w:spacing w:after="160" w:line="560" w:lineRule="exact"/>
                        <w:ind w:left="0" w:leftChars="0" w:firstLine="0" w:firstLineChars="0"/>
                        <w:jc w:val="center"/>
                        <w:rPr>
                          <w:rFonts w:hint="default" w:ascii="仿宋_GB2312" w:hAnsi="Times New Roman" w:eastAsia="仿宋_GB2312" w:cs="DengXian-Regular"/>
                          <w:sz w:val="28"/>
                          <w:szCs w:val="28"/>
                          <w:lang w:val="en-US" w:eastAsia="zh-CN"/>
                        </w:rPr>
                      </w:pPr>
                      <w:r>
                        <w:rPr>
                          <w:rFonts w:hint="eastAsia" w:ascii="仿宋_GB2312" w:hAnsi="Times New Roman" w:eastAsia="仿宋_GB2312" w:cs="DengXian-Regular"/>
                          <w:sz w:val="28"/>
                          <w:szCs w:val="28"/>
                        </w:rPr>
                        <w:t>图</w:t>
                      </w:r>
                      <w:r>
                        <w:rPr>
                          <w:rFonts w:hint="eastAsia" w:ascii="仿宋_GB2312" w:hAnsi="Times New Roman" w:eastAsia="仿宋_GB2312" w:cs="DengXian-Regular"/>
                          <w:sz w:val="28"/>
                          <w:szCs w:val="28"/>
                          <w:lang w:val="en-US" w:eastAsia="zh-CN"/>
                        </w:rPr>
                        <w:t>1</w:t>
                      </w:r>
                      <w:r>
                        <w:rPr>
                          <w:rFonts w:hint="eastAsia" w:ascii="仿宋_GB2312" w:hAnsi="Times New Roman" w:eastAsia="仿宋_GB2312" w:cs="DengXian-Regular"/>
                          <w:sz w:val="28"/>
                          <w:szCs w:val="28"/>
                        </w:rPr>
                        <w:t>：支出</w:t>
                      </w:r>
                      <w:r>
                        <w:rPr>
                          <w:rFonts w:hint="eastAsia" w:ascii="仿宋_GB2312" w:hAnsi="Times New Roman" w:eastAsia="仿宋_GB2312" w:cs="DengXian-Regular"/>
                          <w:sz w:val="28"/>
                          <w:szCs w:val="28"/>
                          <w:lang w:val="en-US" w:eastAsia="zh-CN"/>
                        </w:rPr>
                        <w:t>构成情况（按支出性质）</w:t>
                      </w:r>
                    </w:p>
                    <w:p>
                      <w:pPr>
                        <w:spacing w:after="160" w:line="480" w:lineRule="auto"/>
                        <w:rPr>
                          <w:rFonts w:ascii="Times New Roman" w:hAnsi="Times New Roman" w:eastAsia="宋体" w:cs="Times New Roman"/>
                          <w:sz w:val="20"/>
                          <w:szCs w:val="22"/>
                        </w:rPr>
                      </w:pPr>
                    </w:p>
                  </w:txbxContent>
                </v:textbox>
              </v:shape>
            </w:pict>
          </mc:Fallback>
        </mc:AlternateContent>
      </w: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6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Times New Roman" w:eastAsia="楷体_GB2312" w:cs="DengXian-Bold"/>
          <w:b/>
          <w:bCs/>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其中本年收入2412.38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71.25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w:t>
      </w:r>
      <w:r>
        <w:rPr>
          <w:rFonts w:hint="eastAsia" w:ascii="仿宋" w:hAnsi="仿宋" w:eastAsia="仿宋" w:cs="仿宋"/>
          <w:color w:val="000000"/>
          <w:kern w:val="0"/>
          <w:sz w:val="31"/>
          <w:szCs w:val="31"/>
          <w:lang w:bidi="ar"/>
        </w:rPr>
        <w:t xml:space="preserve"> 年度</w:t>
      </w:r>
      <w:r>
        <w:rPr>
          <w:rFonts w:hint="eastAsia" w:ascii="仿宋" w:hAnsi="仿宋" w:eastAsia="仿宋" w:cs="仿宋"/>
          <w:color w:val="000000"/>
          <w:kern w:val="0"/>
          <w:sz w:val="31"/>
          <w:szCs w:val="31"/>
          <w:lang w:eastAsia="zh-CN" w:bidi="ar"/>
        </w:rPr>
        <w:t>调入</w:t>
      </w:r>
      <w:r>
        <w:rPr>
          <w:rFonts w:hint="eastAsia" w:ascii="仿宋" w:hAnsi="仿宋" w:eastAsia="仿宋" w:cs="仿宋"/>
          <w:color w:val="000000"/>
          <w:kern w:val="0"/>
          <w:sz w:val="31"/>
          <w:szCs w:val="31"/>
          <w:lang w:val="en-US" w:eastAsia="zh-CN" w:bidi="ar"/>
        </w:rPr>
        <w:t>25人</w:t>
      </w:r>
      <w:r>
        <w:rPr>
          <w:rFonts w:hint="eastAsia" w:ascii="仿宋" w:hAnsi="仿宋" w:eastAsia="仿宋" w:cs="仿宋"/>
          <w:color w:val="000000"/>
          <w:kern w:val="0"/>
          <w:sz w:val="31"/>
          <w:szCs w:val="31"/>
          <w:lang w:bidi="ar"/>
        </w:rPr>
        <w:t>导致人员经费增加且处理案件所需经费增加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2718.98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404.01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案件增多、专案所需费用增加</w:t>
      </w:r>
      <w:r>
        <w:rPr>
          <w:rFonts w:hint="eastAsia" w:ascii="仿宋_GB2312" w:hAnsi="Times New Roman" w:eastAsia="仿宋_GB2312" w:cs="DengXian-Regular"/>
          <w:sz w:val="32"/>
          <w:szCs w:val="32"/>
        </w:rPr>
        <w:t>。</w:t>
      </w:r>
    </w:p>
    <w:p>
      <w:pPr>
        <w:pageBreakBefore w:val="0"/>
        <w:kinsoku/>
        <w:wordWrap/>
        <w:overflowPunct/>
        <w:topLinePunct w:val="0"/>
        <w:autoSpaceDE/>
        <w:autoSpaceDN/>
        <w:bidi w:val="0"/>
        <w:adjustRightInd w:val="0"/>
        <w:snapToGrid w:val="0"/>
        <w:spacing w:line="560" w:lineRule="exact"/>
        <w:ind w:firstLine="560" w:firstLineChars="200"/>
        <w:jc w:val="center"/>
        <w:textAlignment w:val="auto"/>
        <w:rPr>
          <w:rFonts w:ascii="仿宋_GB2312" w:eastAsia="仿宋_GB2312" w:cs="DengXian-Regular"/>
          <w:sz w:val="28"/>
          <w:szCs w:val="28"/>
        </w:rPr>
      </w:pPr>
    </w:p>
    <w:p>
      <w:pPr>
        <w:pageBreakBefore w:val="0"/>
        <w:widowControl w:val="0"/>
        <w:kinsoku/>
        <w:wordWrap/>
        <w:overflowPunct/>
        <w:topLinePunct w:val="0"/>
        <w:autoSpaceDE/>
        <w:autoSpaceDN/>
        <w:bidi w:val="0"/>
        <w:snapToGrid w:val="0"/>
        <w:spacing w:line="560" w:lineRule="exact"/>
        <w:ind w:right="0" w:rightChars="0" w:firstLine="560" w:firstLineChars="200"/>
        <w:jc w:val="center"/>
        <w:textAlignment w:val="auto"/>
        <w:rPr>
          <w:rFonts w:hint="eastAsia" w:ascii="楷体_GB2312" w:hAnsi="Times New Roman" w:eastAsia="楷体_GB2312" w:cs="DengXian-Bold"/>
          <w:b/>
          <w:bCs/>
          <w:sz w:val="32"/>
          <w:szCs w:val="32"/>
          <w:lang w:eastAsia="zh-CN"/>
        </w:rPr>
      </w:pPr>
      <w:r>
        <w:rPr>
          <w:rFonts w:hint="eastAsia" w:ascii="仿宋_GB2312" w:eastAsia="仿宋_GB2312" w:cs="DengXian-Regular"/>
          <w:sz w:val="28"/>
          <w:szCs w:val="28"/>
        </w:rPr>
        <w:t>图</w:t>
      </w:r>
      <w:r>
        <w:rPr>
          <w:rFonts w:hint="eastAsia" w:ascii="仿宋_GB2312" w:eastAsia="仿宋_GB2312" w:cs="DengXian-Regular"/>
          <w:sz w:val="28"/>
          <w:szCs w:val="28"/>
          <w:lang w:val="en-US" w:eastAsia="zh-CN"/>
        </w:rPr>
        <w:t>2</w:t>
      </w:r>
      <w:r>
        <w:rPr>
          <w:rFonts w:hint="eastAsia" w:ascii="仿宋_GB2312" w:eastAsia="仿宋_GB2312" w:cs="DengXian-Regular"/>
          <w:sz w:val="28"/>
          <w:szCs w:val="28"/>
        </w:rPr>
        <w:t>：201</w:t>
      </w:r>
      <w:r>
        <w:rPr>
          <w:rFonts w:hint="eastAsia" w:ascii="仿宋_GB2312" w:eastAsia="仿宋_GB2312" w:cs="DengXian-Regular"/>
          <w:sz w:val="28"/>
          <w:szCs w:val="28"/>
          <w:lang w:val="en-US" w:eastAsia="zh-CN"/>
        </w:rPr>
        <w:t>8</w:t>
      </w:r>
      <w:r>
        <w:rPr>
          <w:rFonts w:hint="eastAsia" w:ascii="仿宋_GB2312" w:eastAsia="仿宋_GB2312" w:cs="DengXian-Regular"/>
          <w:sz w:val="28"/>
          <w:szCs w:val="28"/>
        </w:rPr>
        <w:t>-201</w:t>
      </w:r>
      <w:r>
        <w:rPr>
          <w:rFonts w:hint="eastAsia" w:ascii="仿宋_GB2312" w:eastAsia="仿宋_GB2312" w:cs="DengXian-Regular"/>
          <w:sz w:val="28"/>
          <w:szCs w:val="28"/>
          <w:lang w:val="en-US" w:eastAsia="zh-CN"/>
        </w:rPr>
        <w:t>9</w:t>
      </w:r>
      <w:r>
        <w:rPr>
          <w:rFonts w:hint="eastAsia" w:ascii="仿宋_GB2312" w:eastAsia="仿宋_GB2312" w:cs="DengXian-Regular"/>
          <w:sz w:val="28"/>
          <w:szCs w:val="28"/>
        </w:rPr>
        <w:t>年财政拨款收支情况</w:t>
      </w:r>
      <w:r>
        <w:rPr>
          <w:rFonts w:hint="eastAsia" w:ascii="仿宋_GB2312" w:eastAsia="仿宋_GB2312" w:cs="DengXian-Regular"/>
          <w:sz w:val="32"/>
          <w:szCs w:val="32"/>
        </w:rPr>
        <w:drawing>
          <wp:anchor distT="0" distB="0" distL="114300" distR="114300" simplePos="0" relativeHeight="251677696" behindDoc="0" locked="0" layoutInCell="1" allowOverlap="1">
            <wp:simplePos x="0" y="0"/>
            <wp:positionH relativeFrom="column">
              <wp:posOffset>509905</wp:posOffset>
            </wp:positionH>
            <wp:positionV relativeFrom="paragraph">
              <wp:posOffset>257810</wp:posOffset>
            </wp:positionV>
            <wp:extent cx="4911090" cy="3091180"/>
            <wp:effectExtent l="4445" t="4445" r="18415" b="9525"/>
            <wp:wrapTopAndBottom/>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pPr>
        <w:pageBreakBefore w:val="0"/>
        <w:widowControl w:val="0"/>
        <w:kinsoku/>
        <w:wordWrap/>
        <w:overflowPunct/>
        <w:topLinePunct w:val="0"/>
        <w:autoSpaceDE/>
        <w:autoSpaceDN/>
        <w:bidi w:val="0"/>
        <w:snapToGrid w:val="0"/>
        <w:spacing w:line="560" w:lineRule="exact"/>
        <w:ind w:right="0" w:rightChars="0" w:firstLine="643" w:firstLineChars="200"/>
        <w:jc w:val="center"/>
        <w:textAlignment w:val="auto"/>
        <w:rPr>
          <w:rFonts w:hint="eastAsia" w:ascii="楷体_GB2312" w:hAnsi="Times New Roman" w:eastAsia="楷体_GB2312" w:cs="DengXian-Bold"/>
          <w:b/>
          <w:bCs/>
          <w:sz w:val="32"/>
          <w:szCs w:val="32"/>
          <w:lang w:eastAsia="zh-CN"/>
        </w:rPr>
      </w:pPr>
    </w:p>
    <w:p>
      <w:pPr>
        <w:pageBreakBefore w:val="0"/>
        <w:widowControl w:val="0"/>
        <w:kinsoku/>
        <w:wordWrap/>
        <w:overflowPunct/>
        <w:topLinePunct w:val="0"/>
        <w:autoSpaceDE/>
        <w:autoSpaceDN/>
        <w:bidi w:val="0"/>
        <w:snapToGrid w:val="0"/>
        <w:spacing w:line="560" w:lineRule="exact"/>
        <w:ind w:right="0" w:rightChars="0" w:firstLine="643" w:firstLineChars="200"/>
        <w:textAlignment w:val="auto"/>
        <w:rPr>
          <w:rFonts w:hint="eastAsia" w:ascii="楷体_GB2312" w:hAnsi="Times New Roman" w:eastAsia="楷体_GB2312" w:cs="DengXian-Bold"/>
          <w:b/>
          <w:bCs/>
          <w:sz w:val="32"/>
          <w:szCs w:val="32"/>
          <w:lang w:eastAsia="zh-CN"/>
        </w:rPr>
      </w:pPr>
    </w:p>
    <w:p>
      <w:pPr>
        <w:pageBreakBefore w:val="0"/>
        <w:widowControl w:val="0"/>
        <w:kinsoku/>
        <w:wordWrap/>
        <w:overflowPunct/>
        <w:topLinePunct w:val="0"/>
        <w:autoSpaceDE/>
        <w:autoSpaceDN/>
        <w:bidi w:val="0"/>
        <w:snapToGrid w:val="0"/>
        <w:spacing w:line="560" w:lineRule="exact"/>
        <w:ind w:right="0" w:rightChars="0" w:firstLine="643" w:firstLineChars="200"/>
        <w:textAlignment w:val="auto"/>
        <w:rPr>
          <w:rFonts w:hint="eastAsia" w:ascii="楷体_GB2312" w:hAnsi="Times New Roman" w:eastAsia="楷体_GB2312" w:cs="DengXian-Bold"/>
          <w:b/>
          <w:bCs/>
          <w:sz w:val="32"/>
          <w:szCs w:val="32"/>
          <w:lang w:eastAsia="zh-CN"/>
        </w:rPr>
      </w:pPr>
    </w:p>
    <w:p>
      <w:pPr>
        <w:pageBreakBefore w:val="0"/>
        <w:widowControl w:val="0"/>
        <w:kinsoku/>
        <w:wordWrap/>
        <w:overflowPunct/>
        <w:topLinePunct w:val="0"/>
        <w:autoSpaceDE/>
        <w:autoSpaceDN/>
        <w:bidi w:val="0"/>
        <w:snapToGrid w:val="0"/>
        <w:spacing w:line="560" w:lineRule="exact"/>
        <w:ind w:right="0" w:rightChars="0" w:firstLine="643" w:firstLineChars="200"/>
        <w:textAlignment w:val="auto"/>
        <w:rPr>
          <w:rFonts w:hint="eastAsia" w:ascii="楷体_GB2312" w:hAnsi="Times New Roman" w:eastAsia="楷体_GB2312" w:cs="DengXian-Bold"/>
          <w:b/>
          <w:bCs/>
          <w:sz w:val="32"/>
          <w:szCs w:val="32"/>
          <w:lang w:eastAsia="zh-CN"/>
        </w:rPr>
      </w:pPr>
    </w:p>
    <w:p>
      <w:pPr>
        <w:pageBreakBefore w:val="0"/>
        <w:widowControl w:val="0"/>
        <w:kinsoku/>
        <w:wordWrap/>
        <w:overflowPunct/>
        <w:topLinePunct w:val="0"/>
        <w:autoSpaceDE/>
        <w:autoSpaceDN/>
        <w:bidi w:val="0"/>
        <w:snapToGrid w:val="0"/>
        <w:spacing w:line="560" w:lineRule="exact"/>
        <w:ind w:right="0" w:rightChars="0" w:firstLine="643" w:firstLineChars="200"/>
        <w:textAlignment w:val="auto"/>
        <w:rPr>
          <w:rFonts w:hint="eastAsia" w:ascii="仿宋_GB2312" w:hAnsi="Times New Roman" w:eastAsia="仿宋_GB2312" w:cs="DengXian-Regular"/>
          <w:sz w:val="32"/>
          <w:szCs w:val="32"/>
          <w:highlight w:val="yellow"/>
          <w:lang w:val="en-US" w:eastAsia="zh-CN"/>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2412.38万元，完成年初预算的139%（如图3）,比年初预算增加651.08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2019</w:t>
      </w:r>
      <w:r>
        <w:rPr>
          <w:rFonts w:hint="eastAsia" w:ascii="仿宋" w:hAnsi="仿宋" w:eastAsia="仿宋" w:cs="仿宋"/>
          <w:color w:val="000000"/>
          <w:kern w:val="0"/>
          <w:sz w:val="31"/>
          <w:szCs w:val="31"/>
          <w:lang w:bidi="ar"/>
        </w:rPr>
        <w:t xml:space="preserve"> 年度</w:t>
      </w:r>
      <w:r>
        <w:rPr>
          <w:rFonts w:hint="eastAsia" w:ascii="仿宋" w:hAnsi="仿宋" w:eastAsia="仿宋" w:cs="仿宋"/>
          <w:color w:val="000000"/>
          <w:kern w:val="0"/>
          <w:sz w:val="31"/>
          <w:szCs w:val="31"/>
          <w:lang w:eastAsia="zh-CN" w:bidi="ar"/>
        </w:rPr>
        <w:t>调入</w:t>
      </w:r>
      <w:r>
        <w:rPr>
          <w:rFonts w:hint="eastAsia" w:ascii="仿宋" w:hAnsi="仿宋" w:eastAsia="仿宋" w:cs="仿宋"/>
          <w:color w:val="000000"/>
          <w:kern w:val="0"/>
          <w:sz w:val="31"/>
          <w:szCs w:val="31"/>
          <w:lang w:val="en-US" w:eastAsia="zh-CN" w:bidi="ar"/>
        </w:rPr>
        <w:t>25人</w:t>
      </w:r>
      <w:r>
        <w:rPr>
          <w:rFonts w:hint="eastAsia" w:ascii="仿宋" w:hAnsi="仿宋" w:eastAsia="仿宋" w:cs="仿宋"/>
          <w:color w:val="000000"/>
          <w:kern w:val="0"/>
          <w:sz w:val="31"/>
          <w:szCs w:val="31"/>
          <w:lang w:bidi="ar"/>
        </w:rPr>
        <w:t>导致人员经费增加且处理案件所需经费增加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2718.98万元，完成年初预算的161%,比年初预算增加1028.93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是主要是</w:t>
      </w:r>
      <w:r>
        <w:rPr>
          <w:rFonts w:hint="eastAsia" w:ascii="仿宋_GB2312" w:hAnsi="Times New Roman" w:eastAsia="仿宋_GB2312" w:cs="DengXian-Regular"/>
          <w:sz w:val="32"/>
          <w:szCs w:val="32"/>
          <w:lang w:eastAsia="zh-CN"/>
        </w:rPr>
        <w:t>案件增多、专案所需费用增加。</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center"/>
        <w:textAlignment w:val="auto"/>
        <w:rPr>
          <w:rFonts w:hint="eastAsia" w:ascii="仿宋_GB2312" w:hAnsi="Times New Roman" w:eastAsia="仿宋_GB2312" w:cs="DengXian-Regular"/>
          <w:sz w:val="32"/>
          <w:szCs w:val="32"/>
          <w:highlight w:val="yellow"/>
        </w:rPr>
      </w:pPr>
      <w:r>
        <w:rPr>
          <w:rFonts w:hint="eastAsia" w:ascii="仿宋_GB2312" w:eastAsia="仿宋_GB2312" w:cs="DengXian-Regular"/>
          <w:sz w:val="32"/>
          <w:szCs w:val="32"/>
          <w:highlight w:val="yellow"/>
        </w:rPr>
        <w:drawing>
          <wp:anchor distT="0" distB="0" distL="114300" distR="114300" simplePos="0" relativeHeight="251699200" behindDoc="0" locked="0" layoutInCell="1" allowOverlap="1">
            <wp:simplePos x="0" y="0"/>
            <wp:positionH relativeFrom="column">
              <wp:posOffset>477520</wp:posOffset>
            </wp:positionH>
            <wp:positionV relativeFrom="paragraph">
              <wp:posOffset>207645</wp:posOffset>
            </wp:positionV>
            <wp:extent cx="5080000" cy="3810000"/>
            <wp:effectExtent l="4445" t="4445" r="20955" b="14605"/>
            <wp:wrapTopAndBottom/>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pPr>
        <w:pageBreakBefore w:val="0"/>
        <w:kinsoku/>
        <w:wordWrap/>
        <w:overflowPunct/>
        <w:topLinePunct w:val="0"/>
        <w:autoSpaceDE/>
        <w:autoSpaceDN/>
        <w:bidi w:val="0"/>
        <w:adjustRightInd w:val="0"/>
        <w:snapToGrid w:val="0"/>
        <w:spacing w:line="560" w:lineRule="exact"/>
        <w:ind w:firstLine="560" w:firstLineChars="200"/>
        <w:jc w:val="center"/>
        <w:textAlignment w:val="auto"/>
        <w:rPr>
          <w:rFonts w:ascii="仿宋_GB2312" w:eastAsia="仿宋_GB2312" w:cs="DengXian-Regular"/>
          <w:sz w:val="28"/>
          <w:szCs w:val="28"/>
        </w:rPr>
      </w:pPr>
      <w:r>
        <w:rPr>
          <w:rFonts w:hint="eastAsia" w:ascii="仿宋_GB2312" w:eastAsia="仿宋_GB2312" w:cs="DengXian-Regular"/>
          <w:sz w:val="28"/>
          <w:szCs w:val="28"/>
        </w:rPr>
        <w:t>图</w:t>
      </w:r>
      <w:r>
        <w:rPr>
          <w:rFonts w:hint="eastAsia" w:ascii="仿宋_GB2312" w:eastAsia="仿宋_GB2312" w:cs="DengXian-Regular"/>
          <w:sz w:val="28"/>
          <w:szCs w:val="28"/>
          <w:lang w:val="en-US" w:eastAsia="zh-CN"/>
        </w:rPr>
        <w:t>3</w:t>
      </w:r>
      <w:r>
        <w:rPr>
          <w:rFonts w:hint="eastAsia" w:ascii="仿宋_GB2312" w:eastAsia="仿宋_GB2312" w:cs="DengXian-Regular"/>
          <w:sz w:val="28"/>
          <w:szCs w:val="28"/>
        </w:rPr>
        <w:t>：财政拨款收支预决算对比情况</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Times New Roman" w:eastAsia="仿宋_GB2312" w:cs="DengXian-Regular"/>
          <w:sz w:val="32"/>
          <w:szCs w:val="32"/>
          <w:highlight w:val="yellow"/>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Chars="200" w:right="0" w:rightChars="0" w:firstLine="643" w:firstLineChars="20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年度财政拨款支出2718.98万元，主要用于以下方面一般公共服务（类）支出2485.98万元，占91%；社会保障和就业（类）支出133.13万元，占6%；住房保障（类）支出63.8万元，占2%;卫生与健康支出36.08万元，占1%。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560" w:firstLineChars="200"/>
        <w:jc w:val="center"/>
        <w:textAlignment w:val="auto"/>
        <w:rPr>
          <w:rFonts w:hint="eastAsia" w:ascii="楷体_GB2312" w:hAnsi="Times New Roman" w:eastAsia="楷体_GB2312" w:cs="DengXian-Bold"/>
          <w:b/>
          <w:bCs/>
          <w:sz w:val="32"/>
          <w:szCs w:val="32"/>
          <w:lang w:val="en-US" w:eastAsia="zh-CN"/>
        </w:rPr>
      </w:pPr>
      <w:r>
        <w:rPr>
          <w:rFonts w:hint="eastAsia" w:ascii="仿宋_GB2312" w:eastAsia="仿宋_GB2312" w:cs="DengXian-Regular"/>
          <w:sz w:val="28"/>
          <w:szCs w:val="28"/>
        </w:rPr>
        <w:t>图</w:t>
      </w:r>
      <w:r>
        <w:rPr>
          <w:rFonts w:hint="eastAsia" w:ascii="仿宋_GB2312" w:eastAsia="仿宋_GB2312" w:cs="DengXian-Regular"/>
          <w:sz w:val="28"/>
          <w:szCs w:val="28"/>
          <w:lang w:val="en-US" w:eastAsia="zh-CN"/>
        </w:rPr>
        <w:t>4</w:t>
      </w:r>
      <w:r>
        <w:rPr>
          <w:rFonts w:hint="eastAsia" w:ascii="仿宋_GB2312" w:eastAsia="仿宋_GB2312" w:cs="DengXian-Regular"/>
          <w:sz w:val="28"/>
          <w:szCs w:val="28"/>
        </w:rPr>
        <w:t>：财政拨款支出决算结构（按功能分类）</w:t>
      </w:r>
      <w:r>
        <w:rPr>
          <w:rFonts w:hint="eastAsia" w:ascii="楷体_GB2312" w:eastAsia="楷体_GB2312" w:cs="DengXian-Bold"/>
          <w:b/>
          <w:bCs/>
          <w:sz w:val="32"/>
          <w:szCs w:val="32"/>
        </w:rPr>
        <w:drawing>
          <wp:anchor distT="0" distB="0" distL="114300" distR="114300" simplePos="0" relativeHeight="251721728" behindDoc="0" locked="0" layoutInCell="1" allowOverlap="1">
            <wp:simplePos x="0" y="0"/>
            <wp:positionH relativeFrom="column">
              <wp:posOffset>1229995</wp:posOffset>
            </wp:positionH>
            <wp:positionV relativeFrom="paragraph">
              <wp:posOffset>309245</wp:posOffset>
            </wp:positionV>
            <wp:extent cx="4161155" cy="3227705"/>
            <wp:effectExtent l="4445" t="4445" r="6350" b="6350"/>
            <wp:wrapTopAndBottom/>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2041.98万元，其中：人员经费1253.24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788.74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82%,</w:t>
      </w:r>
      <w:r>
        <w:rPr>
          <w:rFonts w:hint="eastAsia" w:ascii="仿宋_GB2312" w:hAnsi="Times New Roman" w:eastAsia="仿宋_GB2312" w:cs="DengXian-Regular"/>
          <w:b w:val="0"/>
          <w:bCs w:val="0"/>
          <w:sz w:val="32"/>
          <w:szCs w:val="32"/>
        </w:rPr>
        <w:t>较预算减少</w:t>
      </w:r>
      <w:r>
        <w:rPr>
          <w:rFonts w:hint="eastAsia" w:ascii="仿宋_GB2312" w:hAnsi="Times New Roman" w:eastAsia="仿宋_GB2312" w:cs="DengXian-Regular"/>
          <w:b w:val="0"/>
          <w:bCs w:val="0"/>
          <w:sz w:val="32"/>
          <w:szCs w:val="32"/>
          <w:lang w:val="en-US" w:eastAsia="zh-CN"/>
        </w:rPr>
        <w:t>0.89</w:t>
      </w:r>
      <w:r>
        <w:rPr>
          <w:rFonts w:hint="eastAsia" w:ascii="仿宋_GB2312" w:hAnsi="Times New Roman" w:eastAsia="仿宋_GB2312" w:cs="DengXian-Regular"/>
          <w:b w:val="0"/>
          <w:bCs w:val="0"/>
          <w:sz w:val="32"/>
          <w:szCs w:val="32"/>
        </w:rPr>
        <w:t>万元，降低</w:t>
      </w:r>
      <w:r>
        <w:rPr>
          <w:rFonts w:hint="eastAsia" w:ascii="仿宋_GB2312" w:hAnsi="Times New Roman" w:eastAsia="仿宋_GB2312" w:cs="DengXian-Regular"/>
          <w:b w:val="0"/>
          <w:bCs w:val="0"/>
          <w:sz w:val="32"/>
          <w:szCs w:val="32"/>
          <w:lang w:val="en-US" w:eastAsia="zh-CN"/>
        </w:rPr>
        <w:t>22</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主要是认真贯彻落实中央“八项规定”精神和厉行节约要求，从严控制“三公”经费开支，全年实际支出比预算有所节约。具体情况如下</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116.79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238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本年无公务用车购置</w:t>
      </w:r>
      <w:r>
        <w:rPr>
          <w:rFonts w:hint="eastAsia" w:ascii="仿宋_GB2312" w:hAnsi="Times New Roman" w:eastAsia="仿宋_GB2312" w:cs="DengXian-Regular"/>
          <w:sz w:val="32"/>
          <w:szCs w:val="32"/>
        </w:rPr>
        <w:t>。具体情况如下：</w:t>
      </w:r>
    </w:p>
    <w:p>
      <w:pPr>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因公出国（境）</w:t>
      </w:r>
      <w:r>
        <w:rPr>
          <w:rFonts w:hint="eastAsia" w:ascii="仿宋_GB2312" w:hAnsi="Times New Roman" w:eastAsia="仿宋_GB2312" w:cs="DengXian-Regular"/>
          <w:sz w:val="32"/>
          <w:szCs w:val="32"/>
          <w:lang w:eastAsia="zh-CN"/>
        </w:rPr>
        <w:t>。</w:t>
      </w:r>
    </w:p>
    <w:p>
      <w:pPr>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公务用车购置及运行维护费支出</w:t>
      </w:r>
      <w:r>
        <w:rPr>
          <w:rFonts w:hint="eastAsia" w:ascii="楷体_GB2312" w:hAnsi="Times New Roman" w:eastAsia="楷体_GB2312" w:cs="DengXian-Bold"/>
          <w:b/>
          <w:bCs/>
          <w:sz w:val="32"/>
          <w:szCs w:val="32"/>
          <w:lang w:val="en-US" w:eastAsia="zh-CN"/>
        </w:rPr>
        <w:t>4</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度公务用车运行维护费</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w:t>
      </w:r>
    </w:p>
    <w:p>
      <w:pPr>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643" w:firstLineChars="200"/>
        <w:textAlignment w:val="auto"/>
        <w:rPr>
          <w:rFonts w:hint="eastAsia" w:ascii="仿宋_GB2312" w:hAnsi="Times New Roman" w:eastAsia="仿宋_GB2312" w:cs="DengXian-Bold"/>
          <w:b/>
          <w:bCs/>
          <w:sz w:val="32"/>
          <w:szCs w:val="32"/>
        </w:rPr>
      </w:pPr>
      <w:r>
        <w:rPr>
          <w:rFonts w:hint="eastAsia" w:ascii="仿宋_GB2312" w:hAnsi="Times New Roman" w:eastAsia="仿宋_GB2312" w:cs="DengXian-Bold"/>
          <w:b/>
          <w:bCs/>
          <w:sz w:val="32"/>
          <w:szCs w:val="32"/>
        </w:rPr>
        <w:t>其中：</w:t>
      </w:r>
    </w:p>
    <w:p>
      <w:pPr>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公务用车购置</w:t>
      </w:r>
      <w:r>
        <w:rPr>
          <w:rFonts w:hint="eastAsia" w:ascii="仿宋_GB2312" w:hAnsi="Times New Roman" w:eastAsia="仿宋_GB2312" w:cs="DengXian-Regular"/>
          <w:sz w:val="32"/>
          <w:szCs w:val="32"/>
          <w:lang w:eastAsia="zh-CN"/>
        </w:rPr>
        <w:t>”经费支出。</w:t>
      </w:r>
    </w:p>
    <w:p>
      <w:pPr>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辆。公车运行维护费支出较预算</w:t>
      </w:r>
      <w:r>
        <w:rPr>
          <w:rFonts w:hint="eastAsia" w:ascii="仿宋_GB2312" w:hAnsi="Times New Roman" w:eastAsia="仿宋_GB2312" w:cs="DengXian-Regular"/>
          <w:sz w:val="32"/>
          <w:szCs w:val="32"/>
          <w:lang w:eastAsia="zh-CN"/>
        </w:rPr>
        <w:t>持平。</w:t>
      </w:r>
    </w:p>
    <w:p>
      <w:pPr>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Times New Roman" w:eastAsia="仿宋_GB2312" w:cs="DengXian-Regular"/>
          <w:sz w:val="32"/>
          <w:szCs w:val="32"/>
          <w:highlight w:val="yellow"/>
          <w:lang w:eastAsia="zh-CN"/>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公务接待</w:t>
      </w:r>
      <w:r>
        <w:rPr>
          <w:rFonts w:hint="eastAsia" w:ascii="仿宋_GB2312" w:hAnsi="Times New Roman" w:eastAsia="仿宋_GB2312" w:cs="DengXian-Regular"/>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我单位共有项目7个，共涉及资金505.06万元，占一般公共预算项目支出总额的75%。组织对“办案经费”“纪检公用保障经费”“纪检监督巡察保障经费”“纪检监督员经费”“劳务派遣人员经费”“援藏补助经费”“文明单位奖励金”等7个项目开展了部门评价，涉及一般公共预算支出505.06万元。其中，对“办案经费”“纪检公用保障经费”“纪检监督巡察保障经费”“纪检监督员经费”“劳务派遣人员经费”“援藏补助经费”“文明单位奖励金”等项目委托第三方机构开展绩效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本部门在今年部门决算公开中反映的办案经费及纪检巡察保障经费等2个项目绩效自评结果。</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办案经费自评综述：根据年初设定的绩效目标，办案经费绩效自评得分为98分（绩效自评表附后）。全年预算数为70万元，执行数为57.48万元，完成预算的82%。项目绩效目标完成情况：办案效率大幅提升，案件完结率有所提高。发现的主要问题：资金支付进度缓慢。下一步改进措施：加快资金支付进度。</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纪检巡察保障经费绩效自评综述：根据年初设定的绩效目标，纪检巡察保障经费绩效自评得分为99分（绩效自评表附后）。全年预算数为150万元，执行数为148.66万元，完成预算的99%。项目绩效目标完成情况：保障了巡视巡察的效率，加快了工作进度。发现的主要问题：资金支付进度缓慢。下一步改进措施：加快资金支付进度。</w:t>
      </w:r>
    </w:p>
    <w:tbl>
      <w:tblPr>
        <w:tblStyle w:val="6"/>
        <w:tblW w:w="9540" w:type="dxa"/>
        <w:tblInd w:w="0" w:type="dxa"/>
        <w:shd w:val="clear" w:color="auto" w:fill="auto"/>
        <w:tblLayout w:type="autofit"/>
        <w:tblCellMar>
          <w:top w:w="0" w:type="dxa"/>
          <w:left w:w="0" w:type="dxa"/>
          <w:bottom w:w="0" w:type="dxa"/>
          <w:right w:w="0" w:type="dxa"/>
        </w:tblCellMar>
      </w:tblPr>
      <w:tblGrid>
        <w:gridCol w:w="630"/>
        <w:gridCol w:w="480"/>
        <w:gridCol w:w="2010"/>
        <w:gridCol w:w="1095"/>
        <w:gridCol w:w="1065"/>
        <w:gridCol w:w="990"/>
        <w:gridCol w:w="1080"/>
        <w:gridCol w:w="1080"/>
        <w:gridCol w:w="1170"/>
      </w:tblGrid>
      <w:tr>
        <w:tblPrEx>
          <w:shd w:val="clear" w:color="auto" w:fill="auto"/>
          <w:tblCellMar>
            <w:top w:w="0" w:type="dxa"/>
            <w:left w:w="0" w:type="dxa"/>
            <w:bottom w:w="0" w:type="dxa"/>
            <w:right w:w="0" w:type="dxa"/>
          </w:tblCellMar>
        </w:tblPrEx>
        <w:trPr>
          <w:trHeight w:val="405" w:hRule="atLeast"/>
        </w:trPr>
        <w:tc>
          <w:tcPr>
            <w:tcW w:w="954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r>
      <w:tr>
        <w:tblPrEx>
          <w:tblCellMar>
            <w:top w:w="0" w:type="dxa"/>
            <w:left w:w="0" w:type="dxa"/>
            <w:bottom w:w="0" w:type="dxa"/>
            <w:right w:w="0" w:type="dxa"/>
          </w:tblCellMar>
        </w:tblPrEx>
        <w:trPr>
          <w:trHeight w:val="49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p>
        </w:tc>
      </w:tr>
      <w:tr>
        <w:tblPrEx>
          <w:tblCellMar>
            <w:top w:w="0" w:type="dxa"/>
            <w:left w:w="0" w:type="dxa"/>
            <w:bottom w:w="0" w:type="dxa"/>
            <w:right w:w="0" w:type="dxa"/>
          </w:tblCellMar>
        </w:tblPrEx>
        <w:trPr>
          <w:trHeight w:val="42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2019 年度）</w:t>
            </w:r>
          </w:p>
        </w:tc>
      </w:tr>
      <w:tr>
        <w:tblPrEx>
          <w:tblCellMar>
            <w:top w:w="0" w:type="dxa"/>
            <w:left w:w="0" w:type="dxa"/>
            <w:bottom w:w="0" w:type="dxa"/>
            <w:right w:w="0"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办案经费</w:t>
            </w:r>
          </w:p>
        </w:tc>
      </w:tr>
      <w:tr>
        <w:tblPrEx>
          <w:tblCellMar>
            <w:top w:w="0" w:type="dxa"/>
            <w:left w:w="0" w:type="dxa"/>
            <w:bottom w:w="0" w:type="dxa"/>
            <w:right w:w="0"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0" w:type="auto"/>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中国共产党固安县纪律检查委员会</w:t>
            </w:r>
          </w:p>
        </w:tc>
      </w:tr>
      <w:tr>
        <w:tblPrEx>
          <w:tblCellMar>
            <w:top w:w="0" w:type="dxa"/>
            <w:left w:w="0" w:type="dxa"/>
            <w:bottom w:w="0" w:type="dxa"/>
            <w:right w:w="0" w:type="dxa"/>
          </w:tblCellMar>
        </w:tblPrEx>
        <w:trPr>
          <w:trHeight w:val="600" w:hRule="atLeast"/>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      预算数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      预算数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       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CellMar>
            <w:top w:w="0" w:type="dxa"/>
            <w:left w:w="0" w:type="dxa"/>
            <w:bottom w:w="0" w:type="dxa"/>
            <w:right w:w="0" w:type="dxa"/>
          </w:tblCellMar>
        </w:tblPrEx>
        <w:trPr>
          <w:trHeight w:val="60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0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0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0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年度总体目标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预期目标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通过规范使用资金，加快办案效率，保证案件完结率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办案效率大幅提升，案件完结率有所提高</w:t>
            </w:r>
          </w:p>
        </w:tc>
      </w:tr>
      <w:tr>
        <w:tblPrEx>
          <w:tblCellMar>
            <w:top w:w="0" w:type="dxa"/>
            <w:left w:w="0" w:type="dxa"/>
            <w:bottom w:w="0" w:type="dxa"/>
            <w:right w:w="0" w:type="dxa"/>
          </w:tblCellMar>
        </w:tblPrEx>
        <w:trPr>
          <w:trHeight w:val="102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参与办案人数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案件办结完成率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资金保障时效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违纪案件查处率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tbl>
      <w:tblPr>
        <w:tblStyle w:val="6"/>
        <w:tblW w:w="9540" w:type="dxa"/>
        <w:tblInd w:w="0" w:type="dxa"/>
        <w:shd w:val="clear" w:color="auto" w:fill="auto"/>
        <w:tblLayout w:type="autofit"/>
        <w:tblCellMar>
          <w:top w:w="0" w:type="dxa"/>
          <w:left w:w="0" w:type="dxa"/>
          <w:bottom w:w="0" w:type="dxa"/>
          <w:right w:w="0" w:type="dxa"/>
        </w:tblCellMar>
      </w:tblPr>
      <w:tblGrid>
        <w:gridCol w:w="630"/>
        <w:gridCol w:w="645"/>
        <w:gridCol w:w="2010"/>
        <w:gridCol w:w="1110"/>
        <w:gridCol w:w="975"/>
        <w:gridCol w:w="990"/>
        <w:gridCol w:w="1117"/>
        <w:gridCol w:w="1120"/>
        <w:gridCol w:w="1093"/>
      </w:tblGrid>
      <w:tr>
        <w:tblPrEx>
          <w:shd w:val="clear" w:color="auto" w:fill="auto"/>
          <w:tblCellMar>
            <w:top w:w="0" w:type="dxa"/>
            <w:left w:w="0" w:type="dxa"/>
            <w:bottom w:w="0" w:type="dxa"/>
            <w:right w:w="0" w:type="dxa"/>
          </w:tblCellMar>
        </w:tblPrEx>
        <w:trPr>
          <w:trHeight w:val="405" w:hRule="atLeast"/>
        </w:trPr>
        <w:tc>
          <w:tcPr>
            <w:tcW w:w="954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r>
      <w:tr>
        <w:tblPrEx>
          <w:tblCellMar>
            <w:top w:w="0" w:type="dxa"/>
            <w:left w:w="0" w:type="dxa"/>
            <w:bottom w:w="0" w:type="dxa"/>
            <w:right w:w="0" w:type="dxa"/>
          </w:tblCellMar>
        </w:tblPrEx>
        <w:trPr>
          <w:trHeight w:val="49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p>
        </w:tc>
      </w:tr>
      <w:tr>
        <w:tblPrEx>
          <w:tblCellMar>
            <w:top w:w="0" w:type="dxa"/>
            <w:left w:w="0" w:type="dxa"/>
            <w:bottom w:w="0" w:type="dxa"/>
            <w:right w:w="0" w:type="dxa"/>
          </w:tblCellMar>
        </w:tblPrEx>
        <w:trPr>
          <w:trHeight w:val="42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2019 年度）</w:t>
            </w:r>
          </w:p>
        </w:tc>
      </w:tr>
      <w:tr>
        <w:tblPrEx>
          <w:tblCellMar>
            <w:top w:w="0" w:type="dxa"/>
            <w:left w:w="0" w:type="dxa"/>
            <w:bottom w:w="0" w:type="dxa"/>
            <w:right w:w="0"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纪检监督巡察保障经费</w:t>
            </w:r>
          </w:p>
        </w:tc>
      </w:tr>
      <w:tr>
        <w:tblPrEx>
          <w:tblCellMar>
            <w:top w:w="0" w:type="dxa"/>
            <w:left w:w="0" w:type="dxa"/>
            <w:bottom w:w="0" w:type="dxa"/>
            <w:right w:w="0"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0" w:type="auto"/>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中国共产党固安县纪律检查委员会</w:t>
            </w:r>
          </w:p>
        </w:tc>
      </w:tr>
      <w:tr>
        <w:tblPrEx>
          <w:tblCellMar>
            <w:top w:w="0" w:type="dxa"/>
            <w:left w:w="0" w:type="dxa"/>
            <w:bottom w:w="0" w:type="dxa"/>
            <w:right w:w="0" w:type="dxa"/>
          </w:tblCellMar>
        </w:tblPrEx>
        <w:trPr>
          <w:trHeight w:val="600"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      预算数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      预算数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       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CellMar>
            <w:top w:w="0" w:type="dxa"/>
            <w:left w:w="0" w:type="dxa"/>
            <w:bottom w:w="0" w:type="dxa"/>
            <w:right w:w="0" w:type="dxa"/>
          </w:tblCellMar>
        </w:tblPrEx>
        <w:trPr>
          <w:trHeight w:val="60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CellMar>
            <w:top w:w="0" w:type="dxa"/>
            <w:left w:w="0" w:type="dxa"/>
            <w:bottom w:w="0" w:type="dxa"/>
            <w:right w:w="0" w:type="dxa"/>
          </w:tblCellMar>
        </w:tblPrEx>
        <w:trPr>
          <w:trHeight w:val="60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0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0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年度总体目标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预期目标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通过规范使用资金，保障巡视巡察的效率，加快工作进度。</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提高了巡视巡察工作效率。</w:t>
            </w:r>
          </w:p>
        </w:tc>
      </w:tr>
      <w:tr>
        <w:tblPrEx>
          <w:tblCellMar>
            <w:top w:w="0" w:type="dxa"/>
            <w:left w:w="0" w:type="dxa"/>
            <w:bottom w:w="0" w:type="dxa"/>
            <w:right w:w="0" w:type="dxa"/>
          </w:tblCellMar>
        </w:tblPrEx>
        <w:trPr>
          <w:trHeight w:val="102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预计巡察部门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资金保障时效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巡察线索查处率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keepLines/>
        <w:pageBreakBefore w:val="0"/>
        <w:widowControl w:val="0"/>
        <w:numPr>
          <w:ilvl w:val="0"/>
          <w:numId w:val="4"/>
        </w:numPr>
        <w:kinsoku/>
        <w:wordWrap/>
        <w:overflowPunct/>
        <w:topLinePunct w:val="0"/>
        <w:autoSpaceDE/>
        <w:autoSpaceDN/>
        <w:bidi w:val="0"/>
        <w:snapToGrid w:val="0"/>
        <w:spacing w:line="560" w:lineRule="exact"/>
        <w:ind w:left="0" w:leftChars="0" w:right="0" w:rightChars="0" w:firstLine="643" w:firstLineChars="200"/>
        <w:jc w:val="both"/>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财政评价项目绩效评价结果：无</w:t>
      </w:r>
    </w:p>
    <w:p>
      <w:pPr>
        <w:keepNext/>
        <w:keepLines/>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6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788.74</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379.83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48</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厉行节约</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keepLines/>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2"/>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政府采购</w:t>
      </w:r>
      <w:r>
        <w:rPr>
          <w:rFonts w:hint="eastAsia" w:ascii="仿宋_GB2312" w:hAnsi="Times New Roman" w:eastAsia="仿宋_GB2312" w:cs="DengXian-Regular"/>
          <w:sz w:val="32"/>
          <w:szCs w:val="32"/>
          <w:lang w:eastAsia="zh-CN"/>
        </w:rPr>
        <w:t>。</w:t>
      </w:r>
      <w:bookmarkStart w:id="0" w:name="_GoBack"/>
      <w:bookmarkEnd w:id="0"/>
    </w:p>
    <w:p>
      <w:pPr>
        <w:keepNext/>
        <w:keepLines/>
        <w:pageBreakBefore w:val="0"/>
        <w:widowControl w:val="0"/>
        <w:kinsoku/>
        <w:wordWrap/>
        <w:overflowPunct/>
        <w:topLinePunct w:val="0"/>
        <w:autoSpaceDE/>
        <w:autoSpaceDN/>
        <w:bidi w:val="0"/>
        <w:snapToGrid w:val="0"/>
        <w:spacing w:line="560" w:lineRule="exact"/>
        <w:ind w:right="0" w:rightChars="0" w:firstLine="643" w:firstLineChars="200"/>
        <w:jc w:val="both"/>
        <w:textAlignment w:val="auto"/>
        <w:outlineLvl w:val="2"/>
        <w:rPr>
          <w:rFonts w:hint="eastAsia" w:ascii="楷体_GB2312" w:hAnsi="Times New Roman" w:eastAsia="仿宋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w:t>
      </w:r>
      <w:r>
        <w:rPr>
          <w:rFonts w:hint="eastAsia" w:ascii="楷体_GB2312" w:hAnsi="Times New Roman" w:eastAsia="楷体_GB2312" w:cs="DengXian-Bold"/>
          <w:b/>
          <w:bCs/>
          <w:kern w:val="2"/>
          <w:sz w:val="32"/>
          <w:szCs w:val="32"/>
          <w:lang w:val="en-US" w:eastAsia="zh-CN" w:bidi="ar-SA"/>
        </w:rPr>
        <w:t>国有资产占用情况</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比上年增加1辆，主要是巡察调拨。</w:t>
      </w:r>
      <w:r>
        <w:rPr>
          <w:rFonts w:hint="eastAsia" w:ascii="仿宋_GB2312" w:hAnsi="Times New Roman" w:eastAsia="仿宋_GB2312" w:cs="DengXian-Regular"/>
          <w:sz w:val="32"/>
          <w:szCs w:val="32"/>
        </w:rPr>
        <w:t>其中</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15辆。</w:t>
      </w:r>
    </w:p>
    <w:p>
      <w:pPr>
        <w:keepNext/>
        <w:keepLines/>
        <w:pageBreakBefore w:val="0"/>
        <w:widowControl w:val="0"/>
        <w:kinsoku/>
        <w:wordWrap/>
        <w:overflowPunct/>
        <w:topLinePunct w:val="0"/>
        <w:autoSpaceDE/>
        <w:autoSpaceDN/>
        <w:bidi w:val="0"/>
        <w:snapToGrid w:val="0"/>
        <w:spacing w:line="56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政府性基金预算财政拨款、国有资本经营预算财政拨款</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eastAsia="zh-CN"/>
        </w:rPr>
        <w:t>府性基金预算财政拨款、国有资本经营预算财政拨款</w:t>
      </w:r>
      <w:r>
        <w:rPr>
          <w:rFonts w:hint="eastAsia" w:ascii="仿宋_GB2312" w:hAnsi="Times New Roman" w:eastAsia="仿宋_GB2312" w:cs="DengXian-Regular"/>
          <w:sz w:val="32"/>
          <w:szCs w:val="32"/>
        </w:rPr>
        <w:t>表以空表列示。</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6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pageBreakBefore w:val="0"/>
        <w:kinsoku/>
        <w:wordWrap/>
        <w:overflowPunct/>
        <w:topLinePunct w:val="0"/>
        <w:autoSpaceDE/>
        <w:autoSpaceDN/>
        <w:bidi w:val="0"/>
        <w:spacing w:line="560" w:lineRule="exact"/>
        <w:ind w:firstLine="1120" w:firstLineChars="200"/>
        <w:jc w:val="center"/>
        <w:textAlignment w:val="auto"/>
        <w:rPr>
          <w:rFonts w:hint="default" w:ascii="黑体" w:hAnsi="黑体" w:eastAsia="黑体" w:cs="黑体"/>
          <w:sz w:val="56"/>
          <w:szCs w:val="72"/>
          <w:lang w:val="en-US" w:eastAsia="zh-CN"/>
        </w:rPr>
      </w:pPr>
    </w:p>
    <w:p>
      <w:pPr>
        <w:pageBreakBefore w:val="0"/>
        <w:kinsoku/>
        <w:wordWrap/>
        <w:overflowPunct/>
        <w:topLinePunct w:val="0"/>
        <w:autoSpaceDE/>
        <w:autoSpaceDN/>
        <w:bidi w:val="0"/>
        <w:spacing w:line="560" w:lineRule="exact"/>
        <w:ind w:firstLine="1120" w:firstLineChars="200"/>
        <w:jc w:val="center"/>
        <w:textAlignment w:val="auto"/>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322163507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107333222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ascii="仿宋_GB2312" w:hAnsi="宋体" w:eastAsia="仿宋_GB2312" w:cs="MS-UIGothic,Bold"/>
          <w:bCs/>
          <w:sz w:val="32"/>
          <w:szCs w:val="32"/>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3221621760"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5536;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bidi w:val="0"/>
        <w:jc w:val="left"/>
        <w:rPr>
          <w:rFonts w:hint="default"/>
          <w:lang w:val="en-US" w:eastAsia="zh-CN"/>
        </w:rPr>
      </w:pPr>
    </w:p>
    <w:tbl>
      <w:tblPr>
        <w:tblStyle w:val="6"/>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731"/>
        <w:gridCol w:w="1017"/>
        <w:gridCol w:w="3148"/>
        <w:gridCol w:w="541"/>
        <w:gridCol w:w="844"/>
      </w:tblGrid>
      <w:tr>
        <w:tblPrEx>
          <w:shd w:val="clear" w:color="auto" w:fill="auto"/>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33"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33"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84" w:hRule="atLeast"/>
          <w:jc w:val="center"/>
        </w:trPr>
        <w:tc>
          <w:tcPr>
            <w:tcW w:w="4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533"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2,412.38</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2485.98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217"/>
                <w:tab w:val="right" w:pos="1154"/>
              </w:tabs>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133.13</w:t>
            </w:r>
            <w:r>
              <w:rPr>
                <w:rFonts w:hint="eastAsia" w:ascii="宋体" w:hAnsi="宋体" w:eastAsia="宋体" w:cs="宋体"/>
                <w:i w:val="0"/>
                <w:color w:val="000000"/>
                <w:kern w:val="0"/>
                <w:sz w:val="22"/>
                <w:szCs w:val="22"/>
                <w:u w:val="none"/>
                <w:lang w:val="en-US" w:eastAsia="zh-CN" w:bidi="ar"/>
              </w:rPr>
              <w:tab/>
            </w: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2412.38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2718.98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334.71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2747.08　</w:t>
            </w:r>
          </w:p>
        </w:tc>
        <w:tc>
          <w:tcPr>
            <w:tcW w:w="3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2747.08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6"/>
        <w:tblW w:w="9580" w:type="dxa"/>
        <w:jc w:val="center"/>
        <w:shd w:val="clear" w:color="auto" w:fill="auto"/>
        <w:tblLayout w:type="autofit"/>
        <w:tblCellMar>
          <w:top w:w="0" w:type="dxa"/>
          <w:left w:w="0" w:type="dxa"/>
          <w:bottom w:w="0" w:type="dxa"/>
          <w:right w:w="0" w:type="dxa"/>
        </w:tblCellMar>
      </w:tblPr>
      <w:tblGrid>
        <w:gridCol w:w="813"/>
        <w:gridCol w:w="46"/>
        <w:gridCol w:w="46"/>
        <w:gridCol w:w="2309"/>
        <w:gridCol w:w="1165"/>
        <w:gridCol w:w="1165"/>
        <w:gridCol w:w="806"/>
        <w:gridCol w:w="806"/>
        <w:gridCol w:w="806"/>
        <w:gridCol w:w="806"/>
        <w:gridCol w:w="812"/>
      </w:tblGrid>
      <w:tr>
        <w:tblPrEx>
          <w:shd w:val="clear" w:color="auto" w:fill="auto"/>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trHeight w:val="357" w:hRule="atLeast"/>
          <w:jc w:val="center"/>
        </w:trPr>
        <w:tc>
          <w:tcPr>
            <w:tcW w:w="81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1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357" w:hRule="atLeast"/>
          <w:jc w:val="center"/>
        </w:trPr>
        <w:tc>
          <w:tcPr>
            <w:tcW w:w="81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24"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85" w:hRule="atLeast"/>
          <w:jc w:val="center"/>
        </w:trPr>
        <w:tc>
          <w:tcPr>
            <w:tcW w:w="321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1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8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8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8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8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8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80" w:hRule="atLeast"/>
          <w:jc w:val="center"/>
        </w:trPr>
        <w:tc>
          <w:tcPr>
            <w:tcW w:w="9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30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9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9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32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85" w:hRule="atLeast"/>
          <w:jc w:val="center"/>
        </w:trPr>
        <w:tc>
          <w:tcPr>
            <w:tcW w:w="32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2412.38</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2412.38</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一般公共服务支出</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2179.38</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2179..38</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纪检监察事务</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2179.38</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2179.38</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2011101</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行政运行</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1141.76</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1141.76</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2011102</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一般行政管理事务</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626.41</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626.41</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2011104</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大案要案查处</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411.2</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411.2</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社会保障和就业支出</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133.13</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133.13</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行政事业单位离退休</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133.13</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133.13</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2080501</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归口管理的行政单位离退休</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24.61</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24.61</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2080505</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机关事业单位基本养老保险缴费支出</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108.52</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108.52</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卫生健康支出</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21011</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行政事业单位医疗</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2102201</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行政单位医疗</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住房保障支出</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63.80</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63.80</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22102</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住房改革支出</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63.80</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63.80</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2210201</w:t>
            </w:r>
          </w:p>
        </w:tc>
        <w:tc>
          <w:tcPr>
            <w:tcW w:w="2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住房公积金</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63.80</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63.80</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Style w:val="6"/>
        <w:tblW w:w="9680" w:type="dxa"/>
        <w:jc w:val="center"/>
        <w:shd w:val="clear" w:color="auto" w:fill="auto"/>
        <w:tblLayout w:type="fixed"/>
        <w:tblCellMar>
          <w:top w:w="0" w:type="dxa"/>
          <w:left w:w="0" w:type="dxa"/>
          <w:bottom w:w="0" w:type="dxa"/>
          <w:right w:w="0" w:type="dxa"/>
        </w:tblCellMar>
      </w:tblPr>
      <w:tblGrid>
        <w:gridCol w:w="941"/>
        <w:gridCol w:w="53"/>
        <w:gridCol w:w="111"/>
        <w:gridCol w:w="1988"/>
        <w:gridCol w:w="986"/>
        <w:gridCol w:w="921"/>
        <w:gridCol w:w="947"/>
        <w:gridCol w:w="1161"/>
        <w:gridCol w:w="1161"/>
        <w:gridCol w:w="1411"/>
      </w:tblGrid>
      <w:tr>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8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2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8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2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23" w:hRule="atLeast"/>
          <w:jc w:val="center"/>
        </w:trPr>
        <w:tc>
          <w:tcPr>
            <w:tcW w:w="30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4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98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309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23" w:hRule="atLeast"/>
          <w:jc w:val="center"/>
        </w:trPr>
        <w:tc>
          <w:tcPr>
            <w:tcW w:w="309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2718.98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2041.98</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677.00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一般公共服务支出</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2485.98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1808.98</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纪检监察事务</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2485.98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1808.98</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2011101</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行政运行</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1155.87</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1155.87</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2011102</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一般行政管理事务</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653.11</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653.11</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2011104</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大案要案查处</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677</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社会保障和就业支出</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133.13</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133.13</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20805</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行政事业单位离退休</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133.13</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133.13</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2080501</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sz w:val="22"/>
                <w:szCs w:val="22"/>
                <w:u w:val="none"/>
                <w:lang w:val="en-US"/>
              </w:rPr>
              <w:t>归口管理的行政单位离退休</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24.61</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24.61</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2080505</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sz w:val="22"/>
                <w:szCs w:val="22"/>
                <w:u w:val="none"/>
                <w:lang w:val="en-US"/>
              </w:rPr>
              <w:t>机关事业单位基本养老保险缴费支出</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108.52</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108.52</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卫生健康支出</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36.08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21011</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行政事业单位医疗</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36.08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2102201</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行政单位医疗</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36.08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221</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住房保障支出</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63.80</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63.80</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22102</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住房改革支出</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63.80</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63.80</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2210201</w:t>
            </w:r>
          </w:p>
        </w:tc>
        <w:tc>
          <w:tcPr>
            <w:tcW w:w="1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住房公积金</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63.80</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63.80</w:t>
            </w:r>
          </w:p>
        </w:tc>
        <w:tc>
          <w:tcPr>
            <w:tcW w:w="9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default"/>
          <w:lang w:val="en-US" w:eastAsia="zh-CN"/>
        </w:rPr>
      </w:pPr>
      <w:r>
        <w:rPr>
          <w:rFonts w:hint="default"/>
          <w:lang w:val="en-US" w:eastAsia="zh-CN"/>
        </w:rPr>
        <w:br w:type="page"/>
      </w:r>
    </w:p>
    <w:tbl>
      <w:tblPr>
        <w:tblStyle w:val="6"/>
        <w:tblW w:w="9520" w:type="dxa"/>
        <w:jc w:val="center"/>
        <w:shd w:val="clear" w:color="auto" w:fill="auto"/>
        <w:tblLayout w:type="fixed"/>
        <w:tblCellMar>
          <w:top w:w="0" w:type="dxa"/>
          <w:left w:w="0" w:type="dxa"/>
          <w:bottom w:w="0" w:type="dxa"/>
          <w:right w:w="0" w:type="dxa"/>
        </w:tblCellMar>
      </w:tblPr>
      <w:tblGrid>
        <w:gridCol w:w="2502"/>
        <w:gridCol w:w="317"/>
        <w:gridCol w:w="983"/>
        <w:gridCol w:w="2834"/>
        <w:gridCol w:w="350"/>
        <w:gridCol w:w="890"/>
        <w:gridCol w:w="855"/>
        <w:gridCol w:w="789"/>
      </w:tblGrid>
      <w:tr>
        <w:tblPrEx>
          <w:shd w:val="clear" w:color="auto" w:fill="auto"/>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tblPrEx>
          <w:tblCellMar>
            <w:top w:w="0" w:type="dxa"/>
            <w:left w:w="0" w:type="dxa"/>
            <w:bottom w:w="0" w:type="dxa"/>
            <w:right w:w="0" w:type="dxa"/>
          </w:tblCellMar>
        </w:tblPrEx>
        <w:trPr>
          <w:trHeight w:val="90" w:hRule="atLeast"/>
          <w:jc w:val="center"/>
        </w:trPr>
        <w:tc>
          <w:tcPr>
            <w:tcW w:w="2502"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34"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90" w:hRule="atLeast"/>
          <w:jc w:val="center"/>
        </w:trPr>
        <w:tc>
          <w:tcPr>
            <w:tcW w:w="250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34"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90" w:hRule="atLeast"/>
          <w:jc w:val="center"/>
        </w:trPr>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718"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12" w:hRule="atLeast"/>
          <w:jc w:val="center"/>
        </w:trPr>
        <w:tc>
          <w:tcPr>
            <w:tcW w:w="25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8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9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CellMar>
            <w:top w:w="0" w:type="dxa"/>
            <w:left w:w="0" w:type="dxa"/>
            <w:bottom w:w="0" w:type="dxa"/>
            <w:right w:w="0" w:type="dxa"/>
          </w:tblCellMar>
        </w:tblPrEx>
        <w:trPr>
          <w:trHeight w:val="397" w:hRule="atLeast"/>
          <w:jc w:val="center"/>
        </w:trPr>
        <w:tc>
          <w:tcPr>
            <w:tcW w:w="25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43"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89"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2,412.38</w:t>
            </w: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2485.98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2485.98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94"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133.13</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133.13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36.08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36.08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63.80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2412.38</w:t>
            </w: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2718.98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2718.98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334.71</w:t>
            </w: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28.10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28.10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334.71</w:t>
            </w: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2747.08</w:t>
            </w:r>
          </w:p>
        </w:tc>
        <w:tc>
          <w:tcPr>
            <w:tcW w:w="2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2747.08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2747.08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Style w:val="6"/>
        <w:tblW w:w="9990" w:type="dxa"/>
        <w:jc w:val="center"/>
        <w:shd w:val="clear" w:color="auto" w:fill="auto"/>
        <w:tblLayout w:type="autofit"/>
        <w:tblCellMar>
          <w:top w:w="0" w:type="dxa"/>
          <w:left w:w="0" w:type="dxa"/>
          <w:bottom w:w="0" w:type="dxa"/>
          <w:right w:w="0" w:type="dxa"/>
        </w:tblCellMar>
      </w:tblPr>
      <w:tblGrid>
        <w:gridCol w:w="718"/>
        <w:gridCol w:w="41"/>
        <w:gridCol w:w="41"/>
        <w:gridCol w:w="3550"/>
        <w:gridCol w:w="1963"/>
        <w:gridCol w:w="1963"/>
        <w:gridCol w:w="1812"/>
      </w:tblGrid>
      <w:tr>
        <w:tblPrEx>
          <w:shd w:val="clear" w:color="auto" w:fill="auto"/>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sz w:val="22"/>
                <w:szCs w:val="22"/>
                <w:u w:val="none"/>
                <w:lang w:val="en-US" w:eastAsia="zh-CN"/>
              </w:rPr>
              <w:t>2718.98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sz w:val="22"/>
                <w:szCs w:val="22"/>
                <w:u w:val="none"/>
                <w:lang w:val="en-US" w:eastAsia="zh-CN"/>
              </w:rPr>
              <w:t>2041.98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sz w:val="22"/>
                <w:szCs w:val="22"/>
                <w:u w:val="none"/>
                <w:lang w:val="en-US" w:eastAsia="zh-CN"/>
              </w:rPr>
              <w:t>677.00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2485.98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1808.98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677.00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2485.98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1808.98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677.00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1155.87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1155.87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653.11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653.11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大案要案查处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677.00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133.13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133.13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133.13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133.13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sz w:val="22"/>
                <w:szCs w:val="22"/>
                <w:u w:val="none"/>
                <w:lang w:val="en-US"/>
              </w:rPr>
              <w:t>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24.61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24.61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sz w:val="22"/>
                <w:szCs w:val="22"/>
                <w:u w:val="none"/>
                <w:lang w:val="en-US"/>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108.52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108.52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2102201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bl>
    <w:p>
      <w:pPr>
        <w:rPr>
          <w:rFonts w:hint="default"/>
          <w:lang w:val="en-US" w:eastAsia="zh-CN"/>
        </w:rPr>
      </w:pPr>
      <w:r>
        <w:rPr>
          <w:rFonts w:hint="default"/>
          <w:lang w:val="en-US" w:eastAsia="zh-CN"/>
        </w:rPr>
        <w:br w:type="page"/>
      </w:r>
    </w:p>
    <w:tbl>
      <w:tblPr>
        <w:tblStyle w:val="6"/>
        <w:tblW w:w="10000" w:type="dxa"/>
        <w:jc w:val="center"/>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shd w:val="clear" w:color="auto" w:fill="auto"/>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1222.99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788.74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337.56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17.31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308.39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257.34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35.43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108.52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9.76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55.67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7.04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17.81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63.80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75.88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424.96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90.72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73.84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8.74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6.42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45.91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1253.24</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788.74</w:t>
            </w:r>
          </w:p>
        </w:tc>
      </w:tr>
    </w:tbl>
    <w:p>
      <w:pPr>
        <w:rPr>
          <w:rFonts w:hint="default"/>
          <w:lang w:val="en-US" w:eastAsia="zh-CN"/>
        </w:rPr>
      </w:pPr>
      <w:r>
        <w:rPr>
          <w:rFonts w:hint="default"/>
          <w:lang w:val="en-US" w:eastAsia="zh-CN"/>
        </w:rPr>
        <w:br w:type="page"/>
      </w:r>
    </w:p>
    <w:tbl>
      <w:tblPr>
        <w:tblStyle w:val="6"/>
        <w:tblW w:w="9220" w:type="dxa"/>
        <w:jc w:val="center"/>
        <w:shd w:val="clear" w:color="auto" w:fill="auto"/>
        <w:tblLayout w:type="autofit"/>
        <w:tblCellMar>
          <w:top w:w="0" w:type="dxa"/>
          <w:left w:w="0" w:type="dxa"/>
          <w:bottom w:w="0" w:type="dxa"/>
          <w:right w:w="0" w:type="dxa"/>
        </w:tblCellMar>
      </w:tblPr>
      <w:tblGrid>
        <w:gridCol w:w="1267"/>
        <w:gridCol w:w="1686"/>
        <w:gridCol w:w="1565"/>
        <w:gridCol w:w="1565"/>
        <w:gridCol w:w="1565"/>
        <w:gridCol w:w="1572"/>
      </w:tblGrid>
      <w:tr>
        <w:tblPrEx>
          <w:shd w:val="clear" w:color="auto" w:fill="auto"/>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0.89</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6"/>
        <w:tblW w:w="9510" w:type="dxa"/>
        <w:jc w:val="center"/>
        <w:shd w:val="clear" w:color="auto" w:fill="auto"/>
        <w:tblLayout w:type="autofit"/>
        <w:tblCellMar>
          <w:top w:w="0" w:type="dxa"/>
          <w:left w:w="0" w:type="dxa"/>
          <w:bottom w:w="0" w:type="dxa"/>
          <w:right w:w="0" w:type="dxa"/>
        </w:tblCellMar>
      </w:tblPr>
      <w:tblGrid>
        <w:gridCol w:w="204"/>
        <w:gridCol w:w="816"/>
        <w:gridCol w:w="58"/>
        <w:gridCol w:w="58"/>
        <w:gridCol w:w="1474"/>
        <w:gridCol w:w="1150"/>
        <w:gridCol w:w="1150"/>
        <w:gridCol w:w="1150"/>
        <w:gridCol w:w="1150"/>
        <w:gridCol w:w="1150"/>
        <w:gridCol w:w="704"/>
        <w:gridCol w:w="446"/>
      </w:tblGrid>
      <w:tr>
        <w:tblPrEx>
          <w:shd w:val="clear" w:color="auto" w:fill="auto"/>
          <w:tblCellMar>
            <w:top w:w="0" w:type="dxa"/>
            <w:left w:w="0" w:type="dxa"/>
            <w:bottom w:w="0" w:type="dxa"/>
            <w:right w:w="0" w:type="dxa"/>
          </w:tblCellMar>
        </w:tblPrEx>
        <w:trPr>
          <w:trHeight w:val="780" w:hRule="atLeast"/>
          <w:jc w:val="center"/>
        </w:trPr>
        <w:tc>
          <w:tcPr>
            <w:tcW w:w="951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2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00"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jc w:val="center"/>
        </w:trPr>
        <w:tc>
          <w:tcPr>
            <w:tcW w:w="102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00"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26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5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jc w:val="center"/>
        </w:trPr>
        <w:tc>
          <w:tcPr>
            <w:tcW w:w="1136"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7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136"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136"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261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261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13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13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13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13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13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204" w:type="dxa"/>
          <w:wAfter w:w="446" w:type="dxa"/>
          <w:trHeight w:val="324" w:hRule="atLeast"/>
          <w:jc w:val="center"/>
        </w:trPr>
        <w:tc>
          <w:tcPr>
            <w:tcW w:w="886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注：本部门无政府性基金预算财政拨款，按要求空表列示。         </w:t>
            </w:r>
          </w:p>
        </w:tc>
      </w:tr>
    </w:tbl>
    <w:p>
      <w:pPr>
        <w:rPr>
          <w:rFonts w:hint="default"/>
          <w:lang w:val="en-US" w:eastAsia="zh-CN"/>
        </w:rPr>
      </w:pPr>
      <w:r>
        <w:rPr>
          <w:rFonts w:hint="default"/>
          <w:lang w:val="en-US" w:eastAsia="zh-CN"/>
        </w:rPr>
        <w:br w:type="page"/>
      </w:r>
    </w:p>
    <w:tbl>
      <w:tblPr>
        <w:tblStyle w:val="6"/>
        <w:tblW w:w="9915" w:type="dxa"/>
        <w:jc w:val="center"/>
        <w:shd w:val="clear" w:color="auto" w:fill="auto"/>
        <w:tblLayout w:type="autofit"/>
        <w:tblCellMar>
          <w:top w:w="0" w:type="dxa"/>
          <w:left w:w="0" w:type="dxa"/>
          <w:bottom w:w="0" w:type="dxa"/>
          <w:right w:w="0" w:type="dxa"/>
        </w:tblCellMar>
      </w:tblPr>
      <w:tblGrid>
        <w:gridCol w:w="1288"/>
        <w:gridCol w:w="74"/>
        <w:gridCol w:w="74"/>
        <w:gridCol w:w="3798"/>
        <w:gridCol w:w="961"/>
        <w:gridCol w:w="1860"/>
        <w:gridCol w:w="1860"/>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ascii="宋体" w:hAnsi="宋体" w:cs="宋体"/>
          <w:color w:val="000000"/>
          <w:kern w:val="0"/>
          <w:sz w:val="22"/>
          <w:szCs w:val="22"/>
          <w:lang w:bidi="ar"/>
        </w:rPr>
        <w:t>注：本部门无国有资本经营预算财政拨款，按要求空表列示。</w:t>
      </w: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3221636096"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107333120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eiryo UI">
    <w:panose1 w:val="020B0604030504040204"/>
    <w:charset w:val="80"/>
    <w:family w:val="auto"/>
    <w:pitch w:val="default"/>
    <w:sig w:usb0="E10102FF" w:usb1="EAC7FFFF" w:usb2="00010012" w:usb3="00000000" w:csb0="6002009F" w:csb1="DFD70000"/>
  </w:font>
  <w:font w:name="仿宋_GB2312">
    <w:altName w:val="仿宋"/>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CA2E43ZAAAACQEAAA8AAAAAAAAAAQAgAAAAIgAAAGRycy9kb3ducmV2LnhtbFBLAQIUABQA&#10;AAAIAIdO4kDZlDXw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FL&#10;iJHZAAAACQEAAA8AAAAAAAAAAQAgAAAAIgAAAGRycy9kb3ducmV2LnhtbFBLAQIUABQAAAAIAIdO&#10;4kDgh/c/PwMAAIcIAAAOAAAAAAAAAAEAIAAAACgBAABkcnMvZTJvRG9jLnhtbFBLBQYAAAAABgAG&#10;AFkBAADZ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7936783"/>
    <w:multiLevelType w:val="singleLevel"/>
    <w:tmpl w:val="57936783"/>
    <w:lvl w:ilvl="0" w:tentative="0">
      <w:start w:val="1"/>
      <w:numFmt w:val="chineseCounting"/>
      <w:suff w:val="nothing"/>
      <w:lvlText w:val="（%1）"/>
      <w:lvlJc w:val="left"/>
      <w:rPr>
        <w:rFonts w:hint="eastAsia"/>
      </w:r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5F222FFA"/>
    <w:multiLevelType w:val="singleLevel"/>
    <w:tmpl w:val="5F222FFA"/>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2B05CF0"/>
    <w:rsid w:val="035C3B22"/>
    <w:rsid w:val="097B15CF"/>
    <w:rsid w:val="0E223E52"/>
    <w:rsid w:val="0E533310"/>
    <w:rsid w:val="1007327F"/>
    <w:rsid w:val="12742C23"/>
    <w:rsid w:val="14DD06CA"/>
    <w:rsid w:val="1D003B73"/>
    <w:rsid w:val="1D21451F"/>
    <w:rsid w:val="1DFA6C87"/>
    <w:rsid w:val="1F8720F4"/>
    <w:rsid w:val="213D1BD9"/>
    <w:rsid w:val="21632A69"/>
    <w:rsid w:val="22412147"/>
    <w:rsid w:val="282C2E9D"/>
    <w:rsid w:val="28937B64"/>
    <w:rsid w:val="2B94033C"/>
    <w:rsid w:val="2D8E4F65"/>
    <w:rsid w:val="2E1A6B52"/>
    <w:rsid w:val="2F6709A1"/>
    <w:rsid w:val="31065657"/>
    <w:rsid w:val="31A31235"/>
    <w:rsid w:val="31C2036A"/>
    <w:rsid w:val="320D02A5"/>
    <w:rsid w:val="32E65170"/>
    <w:rsid w:val="348E566F"/>
    <w:rsid w:val="35494AA1"/>
    <w:rsid w:val="37FE2A1C"/>
    <w:rsid w:val="392072B7"/>
    <w:rsid w:val="3A1009E5"/>
    <w:rsid w:val="3A226944"/>
    <w:rsid w:val="3AEE6A48"/>
    <w:rsid w:val="3C1620AA"/>
    <w:rsid w:val="3D8F080F"/>
    <w:rsid w:val="3DFF6AF1"/>
    <w:rsid w:val="42CA6264"/>
    <w:rsid w:val="43624542"/>
    <w:rsid w:val="43760299"/>
    <w:rsid w:val="44972BE4"/>
    <w:rsid w:val="44CE1FA4"/>
    <w:rsid w:val="45D23FD6"/>
    <w:rsid w:val="46975CDA"/>
    <w:rsid w:val="487F73ED"/>
    <w:rsid w:val="49E95C51"/>
    <w:rsid w:val="4A347EAE"/>
    <w:rsid w:val="4A7B754A"/>
    <w:rsid w:val="4CCA3E4A"/>
    <w:rsid w:val="4FC279B3"/>
    <w:rsid w:val="511A17E7"/>
    <w:rsid w:val="516254D4"/>
    <w:rsid w:val="52600405"/>
    <w:rsid w:val="52736622"/>
    <w:rsid w:val="529B4319"/>
    <w:rsid w:val="5335545F"/>
    <w:rsid w:val="545F23D9"/>
    <w:rsid w:val="574E43F3"/>
    <w:rsid w:val="57773DD6"/>
    <w:rsid w:val="578B79AB"/>
    <w:rsid w:val="596A3C30"/>
    <w:rsid w:val="5CCD3FD5"/>
    <w:rsid w:val="60A14EF7"/>
    <w:rsid w:val="61230347"/>
    <w:rsid w:val="61FA5F9D"/>
    <w:rsid w:val="64BD312D"/>
    <w:rsid w:val="64CD6910"/>
    <w:rsid w:val="6789158D"/>
    <w:rsid w:val="67D81BA4"/>
    <w:rsid w:val="69FD065D"/>
    <w:rsid w:val="6AAF1C96"/>
    <w:rsid w:val="6B2D1E37"/>
    <w:rsid w:val="6FB365A3"/>
    <w:rsid w:val="703764D5"/>
    <w:rsid w:val="727279CF"/>
    <w:rsid w:val="75681757"/>
    <w:rsid w:val="75A346A8"/>
    <w:rsid w:val="77604F6E"/>
    <w:rsid w:val="79B9382C"/>
    <w:rsid w:val="79F6702C"/>
    <w:rsid w:val="7AD00F14"/>
    <w:rsid w:val="7AD63D0D"/>
    <w:rsid w:val="7B043B76"/>
    <w:rsid w:val="7B641AEC"/>
    <w:rsid w:val="7C041A6A"/>
    <w:rsid w:val="7C0E08A5"/>
    <w:rsid w:val="7E327570"/>
    <w:rsid w:val="7E59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chart" Target="charts/chart4.xml"/><Relationship Id="rId28" Type="http://schemas.openxmlformats.org/officeDocument/2006/relationships/chart" Target="charts/chart3.xml"/><Relationship Id="rId27" Type="http://schemas.openxmlformats.org/officeDocument/2006/relationships/chart" Target="charts/chart2.xml"/><Relationship Id="rId26" Type="http://schemas.openxmlformats.org/officeDocument/2006/relationships/chart" Target="charts/chart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444496707432"/>
          <c:y val="0.0555869932432433"/>
          <c:w val="0.7425"/>
          <c:h val="0.99"/>
        </c:manualLayout>
      </c:layout>
      <c:pieChart>
        <c:varyColors val="1"/>
        <c:ser>
          <c:idx val="0"/>
          <c:order val="0"/>
          <c:tx>
            <c:strRef>
              <c:f>Sheet1!$B$1</c:f>
              <c:strCache>
                <c:ptCount val="1"/>
                <c:pt idx="0">
                  <c:v>基本支出</c:v>
                </c:pt>
              </c:strCache>
            </c:strRef>
          </c:tx>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a:defRPr lang="zh-CN" sz="1200" b="1" i="0" u="none" strike="noStrike" kern="1200" baseline="0">
                        <a:solidFill>
                          <a:schemeClr val="lt1"/>
                        </a:solidFill>
                        <a:latin typeface="+mn-lt"/>
                        <a:ea typeface="+mn-ea"/>
                        <a:cs typeface="+mn-cs"/>
                      </a:defRPr>
                    </a:pPr>
                    <a:r>
                      <a:rPr lang="en-US" altLang="zh-CN" sz="1200"/>
                      <a:t>75%</a:t>
                    </a:r>
                    <a:endParaRPr lang="en-US" altLang="zh-CN" sz="1200"/>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200" b="1" i="0" u="none" strike="noStrike" kern="1200" baseline="0">
                        <a:solidFill>
                          <a:schemeClr val="lt1"/>
                        </a:solidFill>
                        <a:latin typeface="+mn-lt"/>
                        <a:ea typeface="+mn-ea"/>
                        <a:cs typeface="+mn-cs"/>
                      </a:defRPr>
                    </a:pPr>
                    <a:r>
                      <a:rPr lang="en-US" altLang="zh-CN" sz="1200"/>
                      <a:t>25%</a:t>
                    </a:r>
                    <a:endParaRPr lang="en-US" altLang="zh-CN" sz="1200"/>
                  </a:p>
                </c:rich>
              </c:tx>
              <c:dLblPos val="inEnd"/>
              <c:showLegendKey val="0"/>
              <c:showVal val="0"/>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2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75</c:v>
                </c:pt>
                <c:pt idx="1">
                  <c:v>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l"/>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10628394103957"/>
          <c:y val="0.0300944946589975"/>
          <c:w val="0.885492629945694"/>
          <c:h val="0.735497124075596"/>
        </c:manualLayout>
      </c:layout>
      <c:barChart>
        <c:barDir val="col"/>
        <c:grouping val="clustered"/>
        <c:varyColors val="0"/>
        <c:ser>
          <c:idx val="0"/>
          <c:order val="0"/>
          <c:tx>
            <c:strRef>
              <c:f>Sheet1!$B$1</c:f>
              <c:strCache>
                <c:ptCount val="1"/>
                <c:pt idx="0">
                  <c:v/>
                </c:pt>
              </c:strCache>
            </c:strRef>
          </c:tx>
          <c:spPr>
            <a:solidFill>
              <a:schemeClr val="accent1">
                <a:tint val="100000"/>
                <a:shade val="100000"/>
                <a:hueMod val="100000"/>
                <a:satMod val="10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2019年度收入</c:v>
                </c:pt>
                <c:pt idx="1">
                  <c:v>2018年度收入</c:v>
                </c:pt>
                <c:pt idx="2">
                  <c:v>2019年度支出</c:v>
                </c:pt>
                <c:pt idx="3">
                  <c:v>2018年度支出</c:v>
                </c:pt>
              </c:strCache>
            </c:strRef>
          </c:cat>
          <c:val>
            <c:numRef>
              <c:f>Sheet1!$B$2:$B$5</c:f>
              <c:numCache>
                <c:formatCode>General</c:formatCode>
                <c:ptCount val="4"/>
                <c:pt idx="0">
                  <c:v>2412.38</c:v>
                </c:pt>
                <c:pt idx="1">
                  <c:v>2341.13</c:v>
                </c:pt>
                <c:pt idx="2">
                  <c:v>2718.98</c:v>
                </c:pt>
                <c:pt idx="3">
                  <c:v>2314.97</c:v>
                </c:pt>
              </c:numCache>
            </c:numRef>
          </c:val>
        </c:ser>
        <c:dLbls>
          <c:showLegendKey val="0"/>
          <c:showVal val="1"/>
          <c:showCatName val="0"/>
          <c:showSerName val="0"/>
          <c:showPercent val="0"/>
          <c:showBubbleSize val="0"/>
        </c:dLbls>
        <c:gapWidth val="219"/>
        <c:overlap val="-27"/>
        <c:axId val="177753088"/>
        <c:axId val="177760128"/>
      </c:barChart>
      <c:catAx>
        <c:axId val="1777530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760128"/>
        <c:crosses val="autoZero"/>
        <c:auto val="1"/>
        <c:lblAlgn val="ctr"/>
        <c:lblOffset val="100"/>
        <c:noMultiLvlLbl val="0"/>
      </c:catAx>
      <c:valAx>
        <c:axId val="17776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753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spPr>
            <a:solidFill>
              <a:schemeClr val="accent1">
                <a:tint val="100000"/>
                <a:shade val="100000"/>
                <a:hueMod val="100000"/>
                <a:satMod val="10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收入预算数</c:v>
                </c:pt>
                <c:pt idx="1">
                  <c:v>收入决算数</c:v>
                </c:pt>
                <c:pt idx="2">
                  <c:v>支出预算数</c:v>
                </c:pt>
                <c:pt idx="3">
                  <c:v>支出决算数</c:v>
                </c:pt>
              </c:strCache>
            </c:strRef>
          </c:cat>
          <c:val>
            <c:numRef>
              <c:f>Sheet1!$B$2:$B$5</c:f>
              <c:numCache>
                <c:formatCode>General</c:formatCode>
                <c:ptCount val="4"/>
                <c:pt idx="0">
                  <c:v>1690.05</c:v>
                </c:pt>
                <c:pt idx="1">
                  <c:v>2412.38</c:v>
                </c:pt>
                <c:pt idx="2">
                  <c:v>1690.05</c:v>
                </c:pt>
                <c:pt idx="3">
                  <c:v>2718.98</c:v>
                </c:pt>
              </c:numCache>
            </c:numRef>
          </c:val>
        </c:ser>
        <c:dLbls>
          <c:showLegendKey val="0"/>
          <c:showVal val="1"/>
          <c:showCatName val="0"/>
          <c:showSerName val="0"/>
          <c:showPercent val="0"/>
          <c:showBubbleSize val="0"/>
        </c:dLbls>
        <c:gapWidth val="150"/>
        <c:overlap val="100"/>
        <c:axId val="177789568"/>
        <c:axId val="178402816"/>
      </c:barChart>
      <c:catAx>
        <c:axId val="1777895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402816"/>
        <c:crosses val="autoZero"/>
        <c:auto val="1"/>
        <c:lblAlgn val="ctr"/>
        <c:lblOffset val="100"/>
        <c:noMultiLvlLbl val="0"/>
      </c:catAx>
      <c:valAx>
        <c:axId val="17840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789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876087288265"/>
          <c:y val="0.00590202636238442"/>
          <c:w val="0.621242179154586"/>
          <c:h val="0.800904977375566"/>
        </c:manualLayout>
      </c:layout>
      <c:pieChart>
        <c:varyColors val="1"/>
        <c:ser>
          <c:idx val="0"/>
          <c:order val="0"/>
          <c:tx>
            <c:strRef>
              <c:f>Sheet1!$B$1</c:f>
              <c:strCache>
                <c:ptCount val="1"/>
                <c:pt idx="0">
                  <c:v>列1</c:v>
                </c:pt>
              </c:strCache>
            </c:strRef>
          </c:tx>
          <c:spPr/>
          <c:explosion val="0"/>
          <c:dPt>
            <c:idx val="0"/>
            <c:bubble3D val="0"/>
            <c:spPr>
              <a:solidFill>
                <a:schemeClr val="accent1">
                  <a:tint val="100000"/>
                  <a:shade val="100000"/>
                  <a:hueMod val="100000"/>
                  <a:satMod val="100000"/>
                </a:schemeClr>
              </a:solidFill>
              <a:ln w="19050">
                <a:solidFill>
                  <a:schemeClr val="lt1"/>
                </a:solidFill>
              </a:ln>
              <a:effectLst/>
            </c:spPr>
          </c:dPt>
          <c:dPt>
            <c:idx val="1"/>
            <c:bubble3D val="0"/>
            <c:spPr>
              <a:solidFill>
                <a:schemeClr val="accent2">
                  <a:tint val="100000"/>
                  <a:shade val="100000"/>
                  <a:hueMod val="100000"/>
                  <a:satMod val="100000"/>
                </a:schemeClr>
              </a:solidFill>
              <a:ln w="19050">
                <a:solidFill>
                  <a:schemeClr val="lt1"/>
                </a:solidFill>
              </a:ln>
              <a:effectLst/>
            </c:spPr>
          </c:dPt>
          <c:dPt>
            <c:idx val="2"/>
            <c:bubble3D val="0"/>
            <c:spPr>
              <a:solidFill>
                <a:schemeClr val="accent3">
                  <a:tint val="100000"/>
                  <a:shade val="100000"/>
                  <a:hueMod val="100000"/>
                  <a:satMod val="100000"/>
                </a:schemeClr>
              </a:solidFill>
              <a:ln w="19050">
                <a:solidFill>
                  <a:schemeClr val="lt1"/>
                </a:solidFill>
              </a:ln>
              <a:effectLst/>
            </c:spPr>
          </c:dPt>
          <c:dPt>
            <c:idx val="3"/>
            <c:bubble3D val="0"/>
            <c:spPr>
              <a:solidFill>
                <a:schemeClr val="accent4">
                  <a:tint val="100000"/>
                  <a:shade val="100000"/>
                  <a:hueMod val="100000"/>
                  <a:satMod val="10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r>
                      <a:rPr lang="en-US" altLang="zh-CN" sz="1400"/>
                      <a:t>91%</a:t>
                    </a:r>
                    <a:endParaRPr lang="en-US" altLang="zh-CN" sz="1400"/>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manualLayout>
                  <c:x val="-0.0556760498824355"/>
                  <c:y val="0.0217885229930414"/>
                </c:manualLayout>
              </c:layout>
              <c:tx>
                <c:rich>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r>
                      <a:rPr lang="en-US" altLang="zh-CN" sz="1400"/>
                      <a:t>6</a:t>
                    </a:r>
                    <a:r>
                      <a:rPr lang="en-US" sz="1400"/>
                      <a:t>%</a:t>
                    </a:r>
                    <a:endParaRPr lang="en-US" sz="1400"/>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53416956072033"/>
                  <c:y val="0"/>
                </c:manualLayout>
              </c:layout>
              <c:tx>
                <c:rich>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r>
                      <a:rPr lang="en-US" sz="1400"/>
                      <a:t>2%</a:t>
                    </a:r>
                    <a:endParaRPr lang="en-US"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22791407143765"/>
                      <c:h val="0.0634313055365687"/>
                    </c:manualLayout>
                  </c15:layout>
                </c:ext>
              </c:extLst>
            </c:dLbl>
            <c:dLbl>
              <c:idx val="3"/>
              <c:layout>
                <c:manualLayout>
                  <c:x val="0.0209456512233528"/>
                  <c:y val="0.0740675578138492"/>
                </c:manualLayout>
              </c:layout>
              <c:tx>
                <c:rich>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r>
                      <a:rPr lang="en-US" altLang="zh-CN" sz="1400"/>
                      <a:t>1%</a:t>
                    </a:r>
                    <a:endParaRPr lang="en-US" altLang="zh-CN"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44527774246854"/>
                      <c:h val="0.0474367737525632"/>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医疗卫生与计划生育支出</c:v>
                </c:pt>
                <c:pt idx="3">
                  <c:v>住房保障（类）支出</c:v>
                </c:pt>
              </c:strCache>
            </c:strRef>
          </c:cat>
          <c:val>
            <c:numRef>
              <c:f>Sheet1!$B$2:$B$5</c:f>
              <c:numCache>
                <c:formatCode>0%</c:formatCode>
                <c:ptCount val="4"/>
                <c:pt idx="0">
                  <c:v>0.91</c:v>
                </c:pt>
                <c:pt idx="1">
                  <c:v>0.06</c:v>
                </c:pt>
                <c:pt idx="2" c:formatCode="0.00%">
                  <c:v>0.02</c:v>
                </c:pt>
                <c:pt idx="3" c:formatCode="0.00%">
                  <c:v>0.01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0</TotalTime>
  <ScaleCrop>false</ScaleCrop>
  <LinksUpToDate>false</LinksUpToDate>
  <CharactersWithSpaces>9394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张哪托</cp:lastModifiedBy>
  <cp:lastPrinted>2020-07-30T02:37:00Z</cp:lastPrinted>
  <dcterms:modified xsi:type="dcterms:W3CDTF">2020-12-02T02:34:51Z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